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0BD3" w14:textId="77777777" w:rsidR="0096243D" w:rsidRDefault="0096243D" w:rsidP="0095045D">
      <w:pPr>
        <w:jc w:val="center"/>
        <w:rPr>
          <w:b/>
          <w:color w:val="2F5496" w:themeColor="accent5" w:themeShade="BF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E7A8EA" wp14:editId="38624C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8943" cy="133894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617.CTCAC.logo.color.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943" cy="1338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76B" w:rsidRPr="007402C1">
        <w:rPr>
          <w:b/>
          <w:color w:val="2F5496" w:themeColor="accent5" w:themeShade="BF"/>
          <w:sz w:val="36"/>
          <w:szCs w:val="36"/>
        </w:rPr>
        <w:t xml:space="preserve">California </w:t>
      </w:r>
      <w:r>
        <w:rPr>
          <w:b/>
          <w:color w:val="2F5496" w:themeColor="accent5" w:themeShade="BF"/>
          <w:sz w:val="36"/>
          <w:szCs w:val="36"/>
        </w:rPr>
        <w:t>Tax Credit</w:t>
      </w:r>
      <w:r w:rsidR="00A7176B" w:rsidRPr="007402C1">
        <w:rPr>
          <w:b/>
          <w:color w:val="2F5496" w:themeColor="accent5" w:themeShade="BF"/>
          <w:sz w:val="36"/>
          <w:szCs w:val="36"/>
        </w:rPr>
        <w:t xml:space="preserve"> Allocation Committee</w:t>
      </w:r>
    </w:p>
    <w:p w14:paraId="47C62740" w14:textId="77777777" w:rsidR="00AB443E" w:rsidRPr="007402C1" w:rsidRDefault="00AB443E" w:rsidP="00AB443E">
      <w:pPr>
        <w:jc w:val="center"/>
        <w:rPr>
          <w:b/>
          <w:sz w:val="36"/>
          <w:szCs w:val="36"/>
        </w:rPr>
      </w:pPr>
    </w:p>
    <w:p w14:paraId="17DC8BFB" w14:textId="77777777" w:rsidR="00A7176B" w:rsidRPr="008E3DF1" w:rsidRDefault="00A7176B" w:rsidP="0095045D">
      <w:pPr>
        <w:jc w:val="center"/>
        <w:rPr>
          <w:rFonts w:cstheme="minorHAnsi"/>
          <w:b/>
          <w:bCs/>
          <w:color w:val="808080" w:themeColor="background1" w:themeShade="80"/>
          <w:sz w:val="32"/>
          <w:szCs w:val="32"/>
        </w:rPr>
      </w:pPr>
      <w:r w:rsidRPr="008E3DF1">
        <w:rPr>
          <w:rFonts w:cstheme="minorHAnsi"/>
          <w:b/>
          <w:bCs/>
          <w:color w:val="808080" w:themeColor="background1" w:themeShade="80"/>
          <w:sz w:val="32"/>
          <w:szCs w:val="32"/>
        </w:rPr>
        <w:t>2022 Meeting Schedule and Application Due Dates</w:t>
      </w:r>
    </w:p>
    <w:p w14:paraId="02F2EBD6" w14:textId="77777777" w:rsidR="009423D8" w:rsidRPr="007402C1" w:rsidRDefault="009423D8" w:rsidP="007402C1">
      <w:pPr>
        <w:jc w:val="center"/>
        <w:rPr>
          <w:color w:val="808080" w:themeColor="background1" w:themeShade="80"/>
          <w:sz w:val="28"/>
          <w:szCs w:val="28"/>
        </w:rPr>
      </w:pPr>
    </w:p>
    <w:tbl>
      <w:tblPr>
        <w:tblStyle w:val="TableGrid"/>
        <w:tblW w:w="5437" w:type="pct"/>
        <w:tblInd w:w="-315" w:type="dxa"/>
        <w:tblBorders>
          <w:top w:val="single" w:sz="36" w:space="0" w:color="7F7F7F" w:themeColor="text1" w:themeTint="80"/>
          <w:left w:val="single" w:sz="36" w:space="0" w:color="7F7F7F" w:themeColor="text1" w:themeTint="80"/>
          <w:bottom w:val="single" w:sz="36" w:space="0" w:color="7F7F7F" w:themeColor="text1" w:themeTint="80"/>
          <w:right w:val="single" w:sz="36" w:space="0" w:color="7F7F7F" w:themeColor="text1" w:themeTint="80"/>
          <w:insideH w:val="single" w:sz="36" w:space="0" w:color="7F7F7F" w:themeColor="text1" w:themeTint="80"/>
          <w:insideV w:val="single" w:sz="3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30"/>
        <w:gridCol w:w="2430"/>
        <w:gridCol w:w="2611"/>
        <w:gridCol w:w="2609"/>
      </w:tblGrid>
      <w:tr w:rsidR="0095045D" w:rsidRPr="00AB443E" w14:paraId="6BCAB5F8" w14:textId="77777777" w:rsidTr="008E3DF1">
        <w:tc>
          <w:tcPr>
            <w:tcW w:w="1205" w:type="pct"/>
            <w:shd w:val="clear" w:color="auto" w:fill="D9E2F3" w:themeFill="accent5" w:themeFillTint="33"/>
            <w:vAlign w:val="center"/>
          </w:tcPr>
          <w:p w14:paraId="3C4E2771" w14:textId="15BA8451" w:rsidR="00C83ACE" w:rsidRPr="008E3DF1" w:rsidRDefault="0096243D" w:rsidP="0095045D">
            <w:pPr>
              <w:jc w:val="center"/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  <w:t>Four Percent (4%)</w:t>
            </w:r>
            <w:r w:rsidR="00F06694" w:rsidRPr="008E3DF1"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C83ACE" w:rsidRPr="008E3DF1"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  <w:t>Application Deadline for Corresponding Meeting Date</w:t>
            </w:r>
          </w:p>
        </w:tc>
        <w:tc>
          <w:tcPr>
            <w:tcW w:w="1205" w:type="pct"/>
            <w:shd w:val="clear" w:color="auto" w:fill="D9E2F3" w:themeFill="accent5" w:themeFillTint="33"/>
            <w:vAlign w:val="center"/>
          </w:tcPr>
          <w:p w14:paraId="1D4BE476" w14:textId="2BCD7044" w:rsidR="00C83ACE" w:rsidRPr="008E3DF1" w:rsidRDefault="0096243D" w:rsidP="00C83ACE">
            <w:pPr>
              <w:jc w:val="center"/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  <w:t>Nine Percent (9%</w:t>
            </w:r>
            <w:r w:rsidR="00C83ACE" w:rsidRPr="008E3DF1"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  <w:t>) Application Deadline for Corresponding Meeting Date</w:t>
            </w:r>
          </w:p>
        </w:tc>
        <w:tc>
          <w:tcPr>
            <w:tcW w:w="1295" w:type="pct"/>
            <w:shd w:val="clear" w:color="auto" w:fill="D9E2F3" w:themeFill="accent5" w:themeFillTint="33"/>
            <w:vAlign w:val="center"/>
          </w:tcPr>
          <w:p w14:paraId="03883526" w14:textId="4CFD948A" w:rsidR="00154E33" w:rsidRPr="008E3DF1" w:rsidRDefault="00C83ACE" w:rsidP="007402C1">
            <w:pPr>
              <w:jc w:val="center"/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  <w:t>2022</w:t>
            </w:r>
            <w:r w:rsidR="00266C2F" w:rsidRPr="008E3DF1"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CTCAC</w:t>
            </w:r>
          </w:p>
          <w:p w14:paraId="080E0814" w14:textId="1664AC6B" w:rsidR="00C83ACE" w:rsidRPr="008E3DF1" w:rsidRDefault="00C83ACE" w:rsidP="0095045D">
            <w:pPr>
              <w:jc w:val="center"/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  <w:t>Committee Meeting Date</w:t>
            </w:r>
            <w:r w:rsidR="009908BA" w:rsidRPr="008E3DF1"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  <w:t>s</w:t>
            </w:r>
            <w:r w:rsidR="001E3425"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  <w:t>/Times*</w:t>
            </w:r>
          </w:p>
        </w:tc>
        <w:tc>
          <w:tcPr>
            <w:tcW w:w="1294" w:type="pct"/>
            <w:shd w:val="clear" w:color="auto" w:fill="D9E2F3" w:themeFill="accent5" w:themeFillTint="33"/>
            <w:vAlign w:val="center"/>
          </w:tcPr>
          <w:p w14:paraId="1D589EA4" w14:textId="1A141587" w:rsidR="00C83ACE" w:rsidRPr="008E3DF1" w:rsidRDefault="00C83ACE" w:rsidP="00C83ACE">
            <w:pPr>
              <w:jc w:val="center"/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  <w:t>Proposed Rounds and Topics</w:t>
            </w:r>
            <w:r w:rsidR="001E3425">
              <w:rPr>
                <w:rFonts w:ascii="Calibri" w:hAnsi="Calibri" w:cs="Calibri"/>
                <w:b/>
                <w:color w:val="2F5496" w:themeColor="accent5" w:themeShade="BF"/>
                <w:sz w:val="28"/>
                <w:szCs w:val="28"/>
              </w:rPr>
              <w:t>**</w:t>
            </w:r>
          </w:p>
        </w:tc>
      </w:tr>
      <w:tr w:rsidR="0095045D" w:rsidRPr="00AB443E" w14:paraId="576DDD09" w14:textId="77777777" w:rsidTr="008E3DF1">
        <w:trPr>
          <w:trHeight w:val="855"/>
        </w:trPr>
        <w:tc>
          <w:tcPr>
            <w:tcW w:w="1205" w:type="pct"/>
          </w:tcPr>
          <w:p w14:paraId="5AB3D45E" w14:textId="77777777" w:rsidR="00C83ACE" w:rsidRPr="00AB443E" w:rsidRDefault="00C83ACE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05" w:type="pct"/>
          </w:tcPr>
          <w:p w14:paraId="3FE6FBEE" w14:textId="77777777" w:rsidR="00C83ACE" w:rsidRPr="00AB443E" w:rsidRDefault="00C83ACE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95" w:type="pct"/>
          </w:tcPr>
          <w:p w14:paraId="34339B76" w14:textId="77777777" w:rsidR="00C83ACE" w:rsidRPr="008E3DF1" w:rsidRDefault="00C83ACE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January 19, 2022</w:t>
            </w:r>
          </w:p>
          <w:p w14:paraId="1B5BB4E0" w14:textId="65B7824E" w:rsidR="00266C2F" w:rsidRPr="008E3DF1" w:rsidRDefault="00266C2F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11 a.m.</w:t>
            </w:r>
          </w:p>
        </w:tc>
        <w:tc>
          <w:tcPr>
            <w:tcW w:w="1294" w:type="pct"/>
          </w:tcPr>
          <w:p w14:paraId="2836BFEE" w14:textId="620D4933" w:rsidR="00C83ACE" w:rsidRPr="008E3DF1" w:rsidRDefault="00851F97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Minimum Point Requirement</w:t>
            </w:r>
          </w:p>
        </w:tc>
      </w:tr>
      <w:tr w:rsidR="0095045D" w:rsidRPr="00AB443E" w14:paraId="0893D51C" w14:textId="77777777" w:rsidTr="008E3DF1">
        <w:trPr>
          <w:trHeight w:val="792"/>
        </w:trPr>
        <w:tc>
          <w:tcPr>
            <w:tcW w:w="1205" w:type="pct"/>
          </w:tcPr>
          <w:p w14:paraId="2CC5785D" w14:textId="08BA5DA8" w:rsidR="00B94474" w:rsidRPr="00AB443E" w:rsidRDefault="00B94474" w:rsidP="0096243D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05" w:type="pct"/>
          </w:tcPr>
          <w:p w14:paraId="2EA75650" w14:textId="40E7692B" w:rsidR="00B94474" w:rsidRPr="00AB443E" w:rsidRDefault="0096243D" w:rsidP="00B94474">
            <w:pPr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March 1, 2022</w:t>
            </w:r>
          </w:p>
        </w:tc>
        <w:tc>
          <w:tcPr>
            <w:tcW w:w="1295" w:type="pct"/>
          </w:tcPr>
          <w:p w14:paraId="7106BBCC" w14:textId="77777777" w:rsidR="00B94474" w:rsidRPr="008E3DF1" w:rsidRDefault="00B94474" w:rsidP="00B94474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June 1</w:t>
            </w:r>
            <w:r w:rsidR="0096243D"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5</w:t>
            </w:r>
            <w:r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, 2022</w:t>
            </w:r>
          </w:p>
          <w:p w14:paraId="64A6FC53" w14:textId="213B3B2F" w:rsidR="00266C2F" w:rsidRPr="008E3DF1" w:rsidRDefault="00266C2F" w:rsidP="00B94474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1 p.m.</w:t>
            </w:r>
          </w:p>
        </w:tc>
        <w:tc>
          <w:tcPr>
            <w:tcW w:w="1294" w:type="pct"/>
          </w:tcPr>
          <w:p w14:paraId="65842C30" w14:textId="77777777" w:rsidR="00B94474" w:rsidRPr="00343AAA" w:rsidRDefault="0096243D" w:rsidP="0096243D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343AAA">
              <w:rPr>
                <w:rFonts w:ascii="Calibri" w:hAnsi="Calibri" w:cs="Calibri"/>
                <w:b/>
                <w:bCs/>
                <w:color w:val="2F5496" w:themeColor="accent5" w:themeShade="BF"/>
                <w:sz w:val="28"/>
                <w:szCs w:val="28"/>
              </w:rPr>
              <w:t xml:space="preserve">9% </w:t>
            </w:r>
            <w:r w:rsidR="009908BA" w:rsidRPr="00343AAA">
              <w:rPr>
                <w:rFonts w:ascii="Calibri" w:hAnsi="Calibri" w:cs="Calibri"/>
                <w:b/>
                <w:bCs/>
                <w:color w:val="2F5496" w:themeColor="accent5" w:themeShade="BF"/>
                <w:sz w:val="28"/>
                <w:szCs w:val="28"/>
              </w:rPr>
              <w:t>Awards</w:t>
            </w:r>
          </w:p>
          <w:p w14:paraId="752ADE01" w14:textId="31697A12" w:rsidR="00B83479" w:rsidRPr="008E3DF1" w:rsidRDefault="00B83479" w:rsidP="0096243D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Round 1</w:t>
            </w:r>
          </w:p>
        </w:tc>
      </w:tr>
      <w:tr w:rsidR="0095045D" w:rsidRPr="00AB443E" w14:paraId="782375F1" w14:textId="77777777" w:rsidTr="008E3DF1">
        <w:trPr>
          <w:trHeight w:val="828"/>
        </w:trPr>
        <w:tc>
          <w:tcPr>
            <w:tcW w:w="1205" w:type="pct"/>
          </w:tcPr>
          <w:p w14:paraId="2A6359AE" w14:textId="4D45DFF0" w:rsidR="00B94474" w:rsidRPr="00AB443E" w:rsidRDefault="00CB00DE" w:rsidP="00B94474">
            <w:pPr>
              <w:rPr>
                <w:color w:val="2F5496" w:themeColor="accent5" w:themeShade="BF"/>
                <w:sz w:val="28"/>
                <w:szCs w:val="28"/>
              </w:rPr>
            </w:pPr>
            <w:bookmarkStart w:id="0" w:name="_Hlk92193075"/>
            <w:r>
              <w:rPr>
                <w:color w:val="2F5496" w:themeColor="accent5" w:themeShade="BF"/>
                <w:sz w:val="28"/>
                <w:szCs w:val="28"/>
              </w:rPr>
              <w:t>March 16</w:t>
            </w:r>
            <w:r w:rsidR="0096243D">
              <w:rPr>
                <w:color w:val="2F5496" w:themeColor="accent5" w:themeShade="BF"/>
                <w:sz w:val="28"/>
                <w:szCs w:val="28"/>
              </w:rPr>
              <w:t>, 2022</w:t>
            </w:r>
          </w:p>
        </w:tc>
        <w:tc>
          <w:tcPr>
            <w:tcW w:w="1205" w:type="pct"/>
          </w:tcPr>
          <w:p w14:paraId="40743F21" w14:textId="1163EE8E" w:rsidR="00B94474" w:rsidRPr="00B94474" w:rsidRDefault="00B94474" w:rsidP="00B94474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95" w:type="pct"/>
          </w:tcPr>
          <w:p w14:paraId="3A833E80" w14:textId="77777777" w:rsidR="00B94474" w:rsidRPr="008E3DF1" w:rsidRDefault="00B94474" w:rsidP="00CB00DE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 xml:space="preserve">June </w:t>
            </w:r>
            <w:r w:rsidR="00CB00DE"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15</w:t>
            </w:r>
            <w:r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, 2022</w:t>
            </w:r>
          </w:p>
          <w:p w14:paraId="46A6A370" w14:textId="1BC8C7E4" w:rsidR="00266C2F" w:rsidRPr="008E3DF1" w:rsidRDefault="00266C2F" w:rsidP="00CB00DE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1 p.m.</w:t>
            </w:r>
          </w:p>
        </w:tc>
        <w:tc>
          <w:tcPr>
            <w:tcW w:w="1294" w:type="pct"/>
          </w:tcPr>
          <w:p w14:paraId="74739B10" w14:textId="77777777" w:rsidR="00B94474" w:rsidRPr="00343AAA" w:rsidRDefault="0096243D" w:rsidP="0096243D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343AAA">
              <w:rPr>
                <w:rFonts w:ascii="Calibri" w:hAnsi="Calibri" w:cs="Calibri"/>
                <w:b/>
                <w:bCs/>
                <w:color w:val="2F5496" w:themeColor="accent5" w:themeShade="BF"/>
                <w:sz w:val="28"/>
                <w:szCs w:val="28"/>
              </w:rPr>
              <w:t xml:space="preserve">4% </w:t>
            </w:r>
            <w:r w:rsidR="009908BA" w:rsidRPr="00343AAA">
              <w:rPr>
                <w:rFonts w:ascii="Calibri" w:hAnsi="Calibri" w:cs="Calibri"/>
                <w:b/>
                <w:bCs/>
                <w:color w:val="2F5496" w:themeColor="accent5" w:themeShade="BF"/>
                <w:sz w:val="28"/>
                <w:szCs w:val="28"/>
              </w:rPr>
              <w:t>Awards</w:t>
            </w:r>
          </w:p>
          <w:p w14:paraId="01D8E059" w14:textId="72553928" w:rsidR="00B83479" w:rsidRPr="008E3DF1" w:rsidRDefault="00B83479" w:rsidP="0096243D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Round 1</w:t>
            </w:r>
          </w:p>
        </w:tc>
      </w:tr>
      <w:bookmarkEnd w:id="0"/>
      <w:tr w:rsidR="0095045D" w:rsidRPr="00AB443E" w14:paraId="5A11C2EF" w14:textId="77777777" w:rsidTr="008E3DF1">
        <w:trPr>
          <w:trHeight w:val="810"/>
        </w:trPr>
        <w:tc>
          <w:tcPr>
            <w:tcW w:w="1205" w:type="pct"/>
          </w:tcPr>
          <w:p w14:paraId="0370A6ED" w14:textId="6093A5BF" w:rsidR="00B94474" w:rsidRPr="00AB443E" w:rsidRDefault="00B94474" w:rsidP="00B94474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05" w:type="pct"/>
          </w:tcPr>
          <w:p w14:paraId="13C08CC5" w14:textId="6C524861" w:rsidR="00B94474" w:rsidRPr="00AB443E" w:rsidRDefault="0096243D" w:rsidP="00B94474">
            <w:pPr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June 30</w:t>
            </w:r>
            <w:r w:rsidR="00B94474" w:rsidRPr="00AB443E">
              <w:rPr>
                <w:color w:val="2F5496" w:themeColor="accent5" w:themeShade="BF"/>
                <w:sz w:val="28"/>
                <w:szCs w:val="28"/>
              </w:rPr>
              <w:t>, 2022</w:t>
            </w:r>
          </w:p>
        </w:tc>
        <w:tc>
          <w:tcPr>
            <w:tcW w:w="1295" w:type="pct"/>
          </w:tcPr>
          <w:p w14:paraId="766E5250" w14:textId="77777777" w:rsidR="00B94474" w:rsidRPr="008E3DF1" w:rsidRDefault="0096243D" w:rsidP="00B94474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September 28</w:t>
            </w:r>
            <w:r w:rsidR="00B94474"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, 2022</w:t>
            </w:r>
          </w:p>
          <w:p w14:paraId="5CE51DA8" w14:textId="15D37179" w:rsidR="00266C2F" w:rsidRPr="008E3DF1" w:rsidRDefault="00266C2F" w:rsidP="00B94474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9 a.m.</w:t>
            </w:r>
          </w:p>
        </w:tc>
        <w:tc>
          <w:tcPr>
            <w:tcW w:w="1294" w:type="pct"/>
          </w:tcPr>
          <w:p w14:paraId="12C1AD18" w14:textId="77777777" w:rsidR="00B94474" w:rsidRPr="00343AAA" w:rsidRDefault="0096243D" w:rsidP="0096243D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343AAA">
              <w:rPr>
                <w:rFonts w:ascii="Calibri" w:hAnsi="Calibri" w:cs="Calibri"/>
                <w:b/>
                <w:bCs/>
                <w:color w:val="2F5496" w:themeColor="accent5" w:themeShade="BF"/>
                <w:sz w:val="28"/>
                <w:szCs w:val="28"/>
              </w:rPr>
              <w:t>9%</w:t>
            </w:r>
            <w:r w:rsidR="0095045D" w:rsidRPr="00343AAA">
              <w:rPr>
                <w:rFonts w:ascii="Calibri" w:hAnsi="Calibri" w:cs="Calibri"/>
                <w:b/>
                <w:bCs/>
                <w:color w:val="2F5496" w:themeColor="accent5" w:themeShade="BF"/>
                <w:sz w:val="28"/>
                <w:szCs w:val="28"/>
              </w:rPr>
              <w:t xml:space="preserve"> </w:t>
            </w:r>
            <w:r w:rsidR="009908BA" w:rsidRPr="00343AAA">
              <w:rPr>
                <w:rFonts w:ascii="Calibri" w:hAnsi="Calibri" w:cs="Calibri"/>
                <w:b/>
                <w:bCs/>
                <w:color w:val="2F5496" w:themeColor="accent5" w:themeShade="BF"/>
                <w:sz w:val="28"/>
                <w:szCs w:val="28"/>
              </w:rPr>
              <w:t>Awards</w:t>
            </w:r>
          </w:p>
          <w:p w14:paraId="5CAFA9CB" w14:textId="7352FD19" w:rsidR="00343AAA" w:rsidRPr="008E3DF1" w:rsidRDefault="00343AAA" w:rsidP="0096243D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Round 2</w:t>
            </w:r>
          </w:p>
        </w:tc>
      </w:tr>
      <w:tr w:rsidR="0095045D" w:rsidRPr="00AB443E" w14:paraId="4AB68FFE" w14:textId="77777777" w:rsidTr="008E3DF1">
        <w:trPr>
          <w:trHeight w:val="810"/>
        </w:trPr>
        <w:tc>
          <w:tcPr>
            <w:tcW w:w="1205" w:type="pct"/>
          </w:tcPr>
          <w:p w14:paraId="2F5A649C" w14:textId="21FFE191" w:rsidR="00B94474" w:rsidRPr="00AB443E" w:rsidRDefault="00B94474" w:rsidP="00B94474">
            <w:pPr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July 7</w:t>
            </w:r>
            <w:r w:rsidRPr="00AB443E">
              <w:rPr>
                <w:color w:val="2F5496" w:themeColor="accent5" w:themeShade="BF"/>
                <w:sz w:val="28"/>
                <w:szCs w:val="28"/>
              </w:rPr>
              <w:t>, 2022</w:t>
            </w:r>
          </w:p>
        </w:tc>
        <w:tc>
          <w:tcPr>
            <w:tcW w:w="1205" w:type="pct"/>
          </w:tcPr>
          <w:p w14:paraId="39D28A04" w14:textId="410BEA84" w:rsidR="00B94474" w:rsidRPr="00AB443E" w:rsidRDefault="00B94474" w:rsidP="00B94474">
            <w:pPr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295" w:type="pct"/>
          </w:tcPr>
          <w:p w14:paraId="145FB982" w14:textId="77777777" w:rsidR="00B94474" w:rsidRPr="008E3DF1" w:rsidRDefault="0096243D" w:rsidP="00B94474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October 19</w:t>
            </w:r>
            <w:r w:rsidR="00B94474"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, 2022</w:t>
            </w:r>
          </w:p>
          <w:p w14:paraId="5D059105" w14:textId="1E609028" w:rsidR="00266C2F" w:rsidRPr="008E3DF1" w:rsidRDefault="00266C2F" w:rsidP="00B94474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 w:rsidRPr="008E3DF1"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9 a.m.</w:t>
            </w:r>
          </w:p>
        </w:tc>
        <w:tc>
          <w:tcPr>
            <w:tcW w:w="1294" w:type="pct"/>
          </w:tcPr>
          <w:p w14:paraId="19F982B8" w14:textId="77777777" w:rsidR="00B94474" w:rsidRPr="00343AAA" w:rsidRDefault="0096243D" w:rsidP="0096243D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343AAA">
              <w:rPr>
                <w:rFonts w:ascii="Calibri" w:hAnsi="Calibri" w:cs="Calibri"/>
                <w:b/>
                <w:bCs/>
                <w:color w:val="2F5496" w:themeColor="accent5" w:themeShade="BF"/>
                <w:sz w:val="28"/>
                <w:szCs w:val="28"/>
              </w:rPr>
              <w:t>4%</w:t>
            </w:r>
            <w:r w:rsidR="00B94474" w:rsidRPr="00343AAA">
              <w:rPr>
                <w:rFonts w:ascii="Calibri" w:hAnsi="Calibri" w:cs="Calibri"/>
                <w:b/>
                <w:bCs/>
                <w:color w:val="2F5496" w:themeColor="accent5" w:themeShade="BF"/>
                <w:sz w:val="28"/>
                <w:szCs w:val="28"/>
              </w:rPr>
              <w:t xml:space="preserve"> </w:t>
            </w:r>
            <w:r w:rsidR="009908BA" w:rsidRPr="00343AAA">
              <w:rPr>
                <w:rFonts w:ascii="Calibri" w:hAnsi="Calibri" w:cs="Calibri"/>
                <w:b/>
                <w:bCs/>
                <w:color w:val="2F5496" w:themeColor="accent5" w:themeShade="BF"/>
                <w:sz w:val="28"/>
                <w:szCs w:val="28"/>
              </w:rPr>
              <w:t>Awards</w:t>
            </w:r>
          </w:p>
          <w:p w14:paraId="3999574A" w14:textId="70885578" w:rsidR="00343AAA" w:rsidRPr="008E3DF1" w:rsidRDefault="00343AAA" w:rsidP="0096243D">
            <w:pP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F5496" w:themeColor="accent5" w:themeShade="BF"/>
                <w:sz w:val="28"/>
                <w:szCs w:val="28"/>
              </w:rPr>
              <w:t>Round 2</w:t>
            </w:r>
          </w:p>
        </w:tc>
      </w:tr>
    </w:tbl>
    <w:p w14:paraId="25A7EA65" w14:textId="77777777" w:rsidR="00851F97" w:rsidRDefault="00851F97" w:rsidP="00851F97">
      <w:pPr>
        <w:spacing w:after="0" w:line="240" w:lineRule="auto"/>
        <w:ind w:hanging="274"/>
      </w:pPr>
    </w:p>
    <w:p w14:paraId="374009A7" w14:textId="2CE8CEF9" w:rsidR="009908BA" w:rsidRDefault="009908BA" w:rsidP="009908BA">
      <w:pPr>
        <w:pStyle w:val="BodyText"/>
        <w:spacing w:line="265" w:lineRule="exact"/>
        <w:ind w:left="0"/>
      </w:pPr>
      <w:r>
        <w:t>*</w:t>
      </w:r>
      <w:r w:rsidRPr="00F3444E">
        <w:t xml:space="preserve"> </w:t>
      </w:r>
      <w:r>
        <w:t xml:space="preserve">CTCAC meetings begin </w:t>
      </w:r>
      <w:r w:rsidR="00266C2F">
        <w:t>upon adjournment of</w:t>
      </w:r>
      <w:r>
        <w:t xml:space="preserve"> </w:t>
      </w:r>
      <w:hyperlink r:id="rId9" w:history="1">
        <w:r w:rsidRPr="00AC1309">
          <w:rPr>
            <w:rStyle w:val="Hyperlink"/>
          </w:rPr>
          <w:t>CDLAC meetings</w:t>
        </w:r>
      </w:hyperlink>
      <w:r>
        <w:t>.</w:t>
      </w:r>
      <w:r w:rsidR="001E3425">
        <w:t xml:space="preserve"> </w:t>
      </w:r>
      <w:r w:rsidRPr="00F3444E">
        <w:t xml:space="preserve">Meeting locations may change for each meeting date. Please check </w:t>
      </w:r>
      <w:r>
        <w:t>a</w:t>
      </w:r>
      <w:r w:rsidRPr="00F3444E">
        <w:t>gendas.</w:t>
      </w:r>
    </w:p>
    <w:p w14:paraId="2EBF1AA5" w14:textId="4305B9F0" w:rsidR="009908BA" w:rsidRDefault="009908BA" w:rsidP="009908BA">
      <w:pPr>
        <w:pStyle w:val="BodyText"/>
        <w:spacing w:line="265" w:lineRule="exact"/>
        <w:ind w:left="0"/>
      </w:pPr>
      <w:r>
        <w:t xml:space="preserve">**Meeting dates and times are subject to change with public notice. Topics listed are not necessarily the only topics to be discussed at the meetings. Topics will be posted </w:t>
      </w:r>
      <w:r w:rsidRPr="003513EC">
        <w:t xml:space="preserve">in the agenda </w:t>
      </w:r>
      <w:r>
        <w:t xml:space="preserve">found on the </w:t>
      </w:r>
      <w:hyperlink r:id="rId10" w:history="1">
        <w:r>
          <w:rPr>
            <w:rStyle w:val="Hyperlink"/>
          </w:rPr>
          <w:t>CTCAC Website Meeting Page</w:t>
        </w:r>
      </w:hyperlink>
      <w:r>
        <w:t xml:space="preserve">  10 days prior to the meeting date. </w:t>
      </w:r>
    </w:p>
    <w:p w14:paraId="58BEE282" w14:textId="312D7075" w:rsidR="005B170E" w:rsidRDefault="00966EA1" w:rsidP="009908BA">
      <w:pPr>
        <w:spacing w:after="0" w:line="240" w:lineRule="auto"/>
        <w:ind w:hanging="274"/>
      </w:pPr>
    </w:p>
    <w:sectPr w:rsidR="005B170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9C62" w14:textId="77777777" w:rsidR="00966EA1" w:rsidRDefault="00966EA1" w:rsidP="00AE56B4">
      <w:pPr>
        <w:spacing w:after="0" w:line="240" w:lineRule="auto"/>
      </w:pPr>
      <w:r>
        <w:separator/>
      </w:r>
    </w:p>
  </w:endnote>
  <w:endnote w:type="continuationSeparator" w:id="0">
    <w:p w14:paraId="6CE4664E" w14:textId="77777777" w:rsidR="00966EA1" w:rsidRDefault="00966EA1" w:rsidP="00AE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4FF3" w14:textId="77777777" w:rsidR="00966EA1" w:rsidRDefault="00966EA1" w:rsidP="00AE56B4">
      <w:pPr>
        <w:spacing w:after="0" w:line="240" w:lineRule="auto"/>
      </w:pPr>
      <w:r>
        <w:separator/>
      </w:r>
    </w:p>
  </w:footnote>
  <w:footnote w:type="continuationSeparator" w:id="0">
    <w:p w14:paraId="28F2F8F3" w14:textId="77777777" w:rsidR="00966EA1" w:rsidRDefault="00966EA1" w:rsidP="00AE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E62" w14:textId="6546DEB9" w:rsidR="00AE56B4" w:rsidRDefault="00AE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5846"/>
    <w:multiLevelType w:val="hybridMultilevel"/>
    <w:tmpl w:val="204458F2"/>
    <w:lvl w:ilvl="0" w:tplc="2E8AE66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6B"/>
    <w:rsid w:val="00003BDC"/>
    <w:rsid w:val="000738DB"/>
    <w:rsid w:val="00154E33"/>
    <w:rsid w:val="001E3425"/>
    <w:rsid w:val="001E50BE"/>
    <w:rsid w:val="00266C2F"/>
    <w:rsid w:val="00343AAA"/>
    <w:rsid w:val="00344CF4"/>
    <w:rsid w:val="003665BE"/>
    <w:rsid w:val="003E13F9"/>
    <w:rsid w:val="00427189"/>
    <w:rsid w:val="00575A00"/>
    <w:rsid w:val="007402C1"/>
    <w:rsid w:val="007B11E0"/>
    <w:rsid w:val="00850DC3"/>
    <w:rsid w:val="00851F97"/>
    <w:rsid w:val="00887D2F"/>
    <w:rsid w:val="00892BD4"/>
    <w:rsid w:val="008E3DF1"/>
    <w:rsid w:val="009124FF"/>
    <w:rsid w:val="00924620"/>
    <w:rsid w:val="009423D8"/>
    <w:rsid w:val="0095045D"/>
    <w:rsid w:val="0096243D"/>
    <w:rsid w:val="00966EA1"/>
    <w:rsid w:val="0098327D"/>
    <w:rsid w:val="009908BA"/>
    <w:rsid w:val="00A00AD3"/>
    <w:rsid w:val="00A20F74"/>
    <w:rsid w:val="00A7176B"/>
    <w:rsid w:val="00AB443E"/>
    <w:rsid w:val="00AC1309"/>
    <w:rsid w:val="00AE56B4"/>
    <w:rsid w:val="00B83479"/>
    <w:rsid w:val="00B94474"/>
    <w:rsid w:val="00BD6F18"/>
    <w:rsid w:val="00BF40E8"/>
    <w:rsid w:val="00C17023"/>
    <w:rsid w:val="00C83ACE"/>
    <w:rsid w:val="00CB00DE"/>
    <w:rsid w:val="00D13E80"/>
    <w:rsid w:val="00DD1159"/>
    <w:rsid w:val="00DE54B7"/>
    <w:rsid w:val="00EE054D"/>
    <w:rsid w:val="00EE09F0"/>
    <w:rsid w:val="00F06694"/>
    <w:rsid w:val="00F678C1"/>
    <w:rsid w:val="00F67FB2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37A9E"/>
  <w15:chartTrackingRefBased/>
  <w15:docId w15:val="{697C69B6-FD45-47ED-BC65-E09EC3AE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B4"/>
  </w:style>
  <w:style w:type="paragraph" w:styleId="Footer">
    <w:name w:val="footer"/>
    <w:basedOn w:val="Normal"/>
    <w:link w:val="FooterChar"/>
    <w:uiPriority w:val="99"/>
    <w:unhideWhenUsed/>
    <w:rsid w:val="00AE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6B4"/>
  </w:style>
  <w:style w:type="character" w:styleId="CommentReference">
    <w:name w:val="annotation reference"/>
    <w:basedOn w:val="DefaultParagraphFont"/>
    <w:uiPriority w:val="99"/>
    <w:semiHidden/>
    <w:unhideWhenUsed/>
    <w:rsid w:val="0089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2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D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908BA"/>
    <w:pPr>
      <w:widowControl w:val="0"/>
      <w:spacing w:after="0" w:line="240" w:lineRule="auto"/>
      <w:ind w:left="7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908BA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990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reasurer.ca.gov/ctcac/meeting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asurer.ca.gov/cdlac/meeting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AB37-4216-4878-81FA-2BF57BEB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Treasurer's Office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Nancee</dc:creator>
  <cp:keywords/>
  <dc:description/>
  <cp:lastModifiedBy>Stevenson, Gabrielle</cp:lastModifiedBy>
  <cp:revision>2</cp:revision>
  <cp:lastPrinted>2022-01-04T16:59:00Z</cp:lastPrinted>
  <dcterms:created xsi:type="dcterms:W3CDTF">2022-01-24T15:58:00Z</dcterms:created>
  <dcterms:modified xsi:type="dcterms:W3CDTF">2022-01-24T15:58:00Z</dcterms:modified>
</cp:coreProperties>
</file>