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0CC7" w14:textId="11BC501A" w:rsidR="00FE66C8" w:rsidRPr="004D6F3A" w:rsidRDefault="003562E6">
      <w:pPr>
        <w:pStyle w:val="Header"/>
        <w:tabs>
          <w:tab w:val="clear" w:pos="4320"/>
          <w:tab w:val="clear" w:pos="8640"/>
        </w:tabs>
        <w:rPr>
          <w:rFonts w:ascii="Times New Roman" w:hAnsi="Times New Roman"/>
          <w:szCs w:val="24"/>
        </w:rPr>
      </w:pPr>
      <w:r w:rsidRPr="004D6F3A">
        <w:rPr>
          <w:rFonts w:ascii="Times New Roman" w:hAnsi="Times New Roman"/>
          <w:szCs w:val="24"/>
        </w:rPr>
        <w:t xml:space="preserve">May </w:t>
      </w:r>
      <w:r w:rsidR="00EB6F0D">
        <w:rPr>
          <w:rFonts w:ascii="Times New Roman" w:hAnsi="Times New Roman"/>
          <w:szCs w:val="24"/>
        </w:rPr>
        <w:t>10</w:t>
      </w:r>
      <w:r w:rsidR="0018656F" w:rsidRPr="004D6F3A">
        <w:rPr>
          <w:rFonts w:ascii="Times New Roman" w:hAnsi="Times New Roman"/>
          <w:szCs w:val="24"/>
        </w:rPr>
        <w:t>, 20</w:t>
      </w:r>
      <w:r w:rsidR="001C781F">
        <w:rPr>
          <w:rFonts w:ascii="Times New Roman" w:hAnsi="Times New Roman"/>
          <w:szCs w:val="24"/>
        </w:rPr>
        <w:t>23</w:t>
      </w:r>
    </w:p>
    <w:p w14:paraId="0CC91399" w14:textId="77777777" w:rsidR="00FE66C8" w:rsidRPr="004D6F3A" w:rsidRDefault="00FE66C8"/>
    <w:p w14:paraId="19019E3D" w14:textId="77777777" w:rsidR="00FE66C8" w:rsidRPr="004D6F3A" w:rsidRDefault="00FE66C8"/>
    <w:p w14:paraId="6E2052D7" w14:textId="77777777" w:rsidR="00FE66C8" w:rsidRPr="004D6F3A" w:rsidRDefault="00FE66C8"/>
    <w:p w14:paraId="6916E349" w14:textId="77777777" w:rsidR="009B7D73" w:rsidRPr="004D6F3A" w:rsidRDefault="00FE66C8" w:rsidP="006B020B">
      <w:pPr>
        <w:jc w:val="center"/>
        <w:rPr>
          <w:b/>
        </w:rPr>
      </w:pPr>
      <w:r w:rsidRPr="004D6F3A">
        <w:rPr>
          <w:b/>
        </w:rPr>
        <w:t xml:space="preserve">SUPPLEMENTAL REQUEST FOR </w:t>
      </w:r>
    </w:p>
    <w:p w14:paraId="2E1A57FD" w14:textId="77777777" w:rsidR="004F1B06" w:rsidRPr="004D6F3A" w:rsidRDefault="004F1B06" w:rsidP="006B020B">
      <w:pPr>
        <w:jc w:val="center"/>
        <w:rPr>
          <w:b/>
        </w:rPr>
      </w:pPr>
      <w:r w:rsidRPr="004D6F3A">
        <w:rPr>
          <w:b/>
        </w:rPr>
        <w:t>STATEMENT OF QUALIFICATIONS</w:t>
      </w:r>
    </w:p>
    <w:p w14:paraId="43AE510A" w14:textId="0E499153" w:rsidR="00FE66C8" w:rsidRPr="004D6F3A" w:rsidRDefault="00FE66C8" w:rsidP="004F1B06">
      <w:pPr>
        <w:jc w:val="center"/>
        <w:rPr>
          <w:b/>
        </w:rPr>
      </w:pPr>
      <w:r w:rsidRPr="004D6F3A">
        <w:rPr>
          <w:b/>
        </w:rPr>
        <w:t xml:space="preserve">BOND </w:t>
      </w:r>
      <w:r w:rsidR="00F05C4E" w:rsidRPr="004D6F3A">
        <w:rPr>
          <w:b/>
        </w:rPr>
        <w:t>COUNSEL</w:t>
      </w:r>
      <w:r w:rsidR="004F1B06" w:rsidRPr="004D6F3A">
        <w:rPr>
          <w:b/>
        </w:rPr>
        <w:t xml:space="preserve"> AND</w:t>
      </w:r>
      <w:r w:rsidR="00410A5B" w:rsidRPr="004D6F3A">
        <w:rPr>
          <w:b/>
        </w:rPr>
        <w:t xml:space="preserve"> </w:t>
      </w:r>
      <w:r w:rsidR="00977362" w:rsidRPr="004D6F3A">
        <w:rPr>
          <w:b/>
        </w:rPr>
        <w:t>DISCLOSURE COUNSEL</w:t>
      </w:r>
      <w:r w:rsidR="00697854">
        <w:rPr>
          <w:b/>
        </w:rPr>
        <w:t xml:space="preserve"> SERVICES</w:t>
      </w:r>
    </w:p>
    <w:p w14:paraId="529AFFA2" w14:textId="77777777" w:rsidR="00FE66C8" w:rsidRPr="004D6F3A" w:rsidRDefault="00FE66C8"/>
    <w:p w14:paraId="1F4DC03F" w14:textId="77777777" w:rsidR="009B7D73" w:rsidRPr="004D6F3A" w:rsidRDefault="009B7D73"/>
    <w:p w14:paraId="04D4F4ED" w14:textId="77777777" w:rsidR="00FE66C8" w:rsidRPr="004D6F3A" w:rsidRDefault="00FE66C8"/>
    <w:p w14:paraId="78C4D8DF" w14:textId="77777777" w:rsidR="00FE66C8" w:rsidRPr="004D6F3A" w:rsidRDefault="00FE66C8" w:rsidP="00E0028C">
      <w:pPr>
        <w:jc w:val="both"/>
      </w:pPr>
      <w:r w:rsidRPr="004D6F3A">
        <w:t xml:space="preserve">To </w:t>
      </w:r>
      <w:r w:rsidR="0040529A" w:rsidRPr="004D6F3A">
        <w:t xml:space="preserve">Interested </w:t>
      </w:r>
      <w:r w:rsidR="00870445" w:rsidRPr="004D6F3A">
        <w:t>Pool Members</w:t>
      </w:r>
      <w:r w:rsidRPr="004D6F3A">
        <w:t>:</w:t>
      </w:r>
    </w:p>
    <w:p w14:paraId="32C0ECBB" w14:textId="77777777" w:rsidR="00FE66C8" w:rsidRPr="004D6F3A" w:rsidRDefault="00FE66C8" w:rsidP="00E0028C">
      <w:pPr>
        <w:jc w:val="both"/>
      </w:pPr>
    </w:p>
    <w:p w14:paraId="2E469661" w14:textId="6A219BA6" w:rsidR="00FE66C8" w:rsidRPr="004D6F3A" w:rsidRDefault="00FE66C8" w:rsidP="00C86BD8">
      <w:pPr>
        <w:jc w:val="both"/>
      </w:pPr>
      <w:r w:rsidRPr="004D6F3A">
        <w:t xml:space="preserve">The </w:t>
      </w:r>
      <w:r w:rsidR="00E0028C" w:rsidRPr="004D6F3A">
        <w:t xml:space="preserve">California </w:t>
      </w:r>
      <w:r w:rsidRPr="004D6F3A">
        <w:t xml:space="preserve">State </w:t>
      </w:r>
      <w:r w:rsidR="00E0028C" w:rsidRPr="004D6F3A">
        <w:t>Treasurer’s Office</w:t>
      </w:r>
      <w:r w:rsidRPr="004D6F3A">
        <w:t xml:space="preserve"> request</w:t>
      </w:r>
      <w:r w:rsidR="00410A5B" w:rsidRPr="004D6F3A">
        <w:t>s</w:t>
      </w:r>
      <w:r w:rsidRPr="004D6F3A">
        <w:t xml:space="preserve"> that firms interested in providing Bond Counsel </w:t>
      </w:r>
      <w:r w:rsidR="00977362" w:rsidRPr="004D6F3A">
        <w:t xml:space="preserve">and Disclosure Counsel </w:t>
      </w:r>
      <w:r w:rsidRPr="004D6F3A">
        <w:t>services for the State</w:t>
      </w:r>
      <w:r w:rsidR="00C16B56" w:rsidRPr="004D6F3A">
        <w:t xml:space="preserve"> of California</w:t>
      </w:r>
      <w:r w:rsidRPr="004D6F3A">
        <w:t>’s</w:t>
      </w:r>
      <w:r w:rsidR="004F1B06" w:rsidRPr="004D6F3A">
        <w:t xml:space="preserve"> </w:t>
      </w:r>
      <w:r w:rsidR="00B2606E">
        <w:t xml:space="preserve">(State) </w:t>
      </w:r>
      <w:r w:rsidRPr="004D6F3A">
        <w:t>General Obligation</w:t>
      </w:r>
      <w:r w:rsidR="00FE5DEA" w:rsidRPr="004D6F3A">
        <w:t xml:space="preserve"> Bond</w:t>
      </w:r>
      <w:r w:rsidR="00F1580E">
        <w:t xml:space="preserve"> program</w:t>
      </w:r>
      <w:r w:rsidR="00395CD7" w:rsidRPr="004D6F3A">
        <w:t xml:space="preserve"> </w:t>
      </w:r>
      <w:r w:rsidR="00066332" w:rsidRPr="004D6F3A">
        <w:t xml:space="preserve">and </w:t>
      </w:r>
      <w:r w:rsidR="00FE5DEA" w:rsidRPr="004D6F3A">
        <w:t>Revenue Anticipation Note</w:t>
      </w:r>
      <w:r w:rsidR="00FF002C" w:rsidRPr="004D6F3A">
        <w:t>s</w:t>
      </w:r>
      <w:r w:rsidR="00066332" w:rsidRPr="004D6F3A">
        <w:t xml:space="preserve"> program</w:t>
      </w:r>
      <w:r w:rsidR="00F1580E">
        <w:t>,</w:t>
      </w:r>
      <w:r w:rsidR="00A04281" w:rsidRPr="004D6F3A">
        <w:t xml:space="preserve"> </w:t>
      </w:r>
      <w:r w:rsidR="004F1B06" w:rsidRPr="004D6F3A">
        <w:t xml:space="preserve">Disclosure Counsel services for the State’s </w:t>
      </w:r>
      <w:r w:rsidR="00FE5DEA" w:rsidRPr="004D6F3A">
        <w:t>Appendix A</w:t>
      </w:r>
      <w:r w:rsidR="00F1580E">
        <w:t xml:space="preserve">, </w:t>
      </w:r>
      <w:r w:rsidR="00972E80">
        <w:t>and</w:t>
      </w:r>
      <w:r w:rsidR="00F1580E">
        <w:t>/or Disclosure Counsel services for</w:t>
      </w:r>
      <w:r w:rsidR="00972E80">
        <w:t xml:space="preserve"> the</w:t>
      </w:r>
      <w:r w:rsidR="00E10220" w:rsidRPr="004D6F3A">
        <w:t xml:space="preserve"> </w:t>
      </w:r>
      <w:r w:rsidR="00697854">
        <w:t>State</w:t>
      </w:r>
      <w:r w:rsidR="00B2606E">
        <w:t xml:space="preserve">’s </w:t>
      </w:r>
      <w:r w:rsidR="005A1E3B">
        <w:t>Department of Veteran’s Affairs</w:t>
      </w:r>
      <w:r w:rsidR="00487E39">
        <w:t xml:space="preserve"> </w:t>
      </w:r>
      <w:r w:rsidR="00697854">
        <w:t>bond programs (Veterans General Obligation Bonds and Home Purchase Revenue Bonds)</w:t>
      </w:r>
      <w:r w:rsidR="005A1E3B">
        <w:t xml:space="preserve">, </w:t>
      </w:r>
      <w:r w:rsidRPr="004D6F3A">
        <w:t xml:space="preserve">submit a </w:t>
      </w:r>
      <w:r w:rsidR="00870445" w:rsidRPr="004D6F3A">
        <w:t xml:space="preserve">Supplemental </w:t>
      </w:r>
      <w:r w:rsidRPr="004D6F3A">
        <w:t xml:space="preserve">Statement of Qualifications </w:t>
      </w:r>
      <w:r w:rsidR="00870445" w:rsidRPr="004D6F3A">
        <w:t xml:space="preserve">(SOQ) </w:t>
      </w:r>
      <w:r w:rsidRPr="004D6F3A">
        <w:t xml:space="preserve">to the STO by </w:t>
      </w:r>
      <w:r w:rsidR="00870445" w:rsidRPr="004D6F3A">
        <w:t>12:00 p.m.</w:t>
      </w:r>
      <w:r w:rsidRPr="004D6F3A">
        <w:t xml:space="preserve"> (</w:t>
      </w:r>
      <w:r w:rsidR="00B2606E">
        <w:t>Pacific</w:t>
      </w:r>
      <w:r w:rsidR="00B2606E" w:rsidRPr="004D6F3A">
        <w:t xml:space="preserve"> </w:t>
      </w:r>
      <w:r w:rsidR="00066332" w:rsidRPr="004D6F3A">
        <w:t>Time</w:t>
      </w:r>
      <w:r w:rsidRPr="004D6F3A">
        <w:t xml:space="preserve">) on </w:t>
      </w:r>
      <w:r w:rsidR="00395836">
        <w:t xml:space="preserve">May </w:t>
      </w:r>
      <w:r w:rsidR="00BA5D8F">
        <w:t>31</w:t>
      </w:r>
      <w:r w:rsidR="00395836">
        <w:t>,</w:t>
      </w:r>
      <w:r w:rsidR="0018656F" w:rsidRPr="004D6F3A">
        <w:t xml:space="preserve"> 20</w:t>
      </w:r>
      <w:r w:rsidR="001C781F">
        <w:t>23</w:t>
      </w:r>
      <w:r w:rsidRPr="004D6F3A">
        <w:t xml:space="preserve">, by e-mail to </w:t>
      </w:r>
      <w:hyperlink r:id="rId8" w:history="1">
        <w:r w:rsidR="00410A5B" w:rsidRPr="004D6F3A">
          <w:rPr>
            <w:rStyle w:val="Hyperlink"/>
          </w:rPr>
          <w:t>InvestorRelations@treasurer.ca.gov</w:t>
        </w:r>
      </w:hyperlink>
      <w:r w:rsidRPr="004D6F3A">
        <w:t>.</w:t>
      </w:r>
      <w:r w:rsidR="005F4C2D" w:rsidRPr="004D6F3A">
        <w:t xml:space="preserve"> The</w:t>
      </w:r>
      <w:r w:rsidR="00F1580E">
        <w:t xml:space="preserve"> </w:t>
      </w:r>
      <w:r w:rsidR="00870445" w:rsidRPr="004D6F3A">
        <w:t>SOQ</w:t>
      </w:r>
      <w:r w:rsidR="00287FA4" w:rsidRPr="004D6F3A">
        <w:t xml:space="preserve"> should respond to the attached request.</w:t>
      </w:r>
      <w:r w:rsidR="00C14D90" w:rsidRPr="004D6F3A">
        <w:t xml:space="preserve">  </w:t>
      </w:r>
    </w:p>
    <w:p w14:paraId="6503D5E9" w14:textId="77777777" w:rsidR="00FE66C8" w:rsidRPr="004D6F3A" w:rsidRDefault="00FE66C8" w:rsidP="00E0028C">
      <w:pPr>
        <w:jc w:val="both"/>
      </w:pPr>
    </w:p>
    <w:p w14:paraId="5F324135" w14:textId="09AFE950" w:rsidR="00FE66C8" w:rsidRPr="004D6F3A" w:rsidRDefault="005F4C2D" w:rsidP="005F4C2D">
      <w:pPr>
        <w:jc w:val="both"/>
      </w:pPr>
      <w:r w:rsidRPr="004D6F3A">
        <w:t xml:space="preserve">STO </w:t>
      </w:r>
      <w:r w:rsidR="00410A5B" w:rsidRPr="004D6F3A">
        <w:t xml:space="preserve">protocol requires </w:t>
      </w:r>
      <w:r w:rsidRPr="004D6F3A">
        <w:t xml:space="preserve">that firms (and </w:t>
      </w:r>
      <w:r w:rsidR="00ED266A">
        <w:t>their</w:t>
      </w:r>
      <w:r w:rsidR="00ED266A" w:rsidRPr="004D6F3A">
        <w:t xml:space="preserve"> </w:t>
      </w:r>
      <w:r w:rsidRPr="004D6F3A">
        <w:t xml:space="preserve">agents) refrain from advocating or inquiring about the status of this selection process unless contacted by the STO. </w:t>
      </w:r>
      <w:r w:rsidR="000412DA">
        <w:t>Please direct a</w:t>
      </w:r>
      <w:r w:rsidRPr="004D6F3A">
        <w:t xml:space="preserve">ny necessary contact with the </w:t>
      </w:r>
      <w:r w:rsidR="00C16B56" w:rsidRPr="004D6F3A">
        <w:t>S</w:t>
      </w:r>
      <w:r w:rsidR="00A005D5" w:rsidRPr="004D6F3A">
        <w:t>tate</w:t>
      </w:r>
      <w:r w:rsidR="00C16B56" w:rsidRPr="004D6F3A">
        <w:t xml:space="preserve"> </w:t>
      </w:r>
      <w:r w:rsidR="004B5CFE" w:rsidRPr="004D6F3A">
        <w:t>regarding</w:t>
      </w:r>
      <w:r w:rsidRPr="004D6F3A">
        <w:t xml:space="preserve"> this request exclusively </w:t>
      </w:r>
      <w:r w:rsidR="00FE66C8" w:rsidRPr="004D6F3A">
        <w:t xml:space="preserve">to </w:t>
      </w:r>
      <w:r w:rsidR="002534D1">
        <w:t>Geoff Palmertree</w:t>
      </w:r>
      <w:r w:rsidR="00A005D5" w:rsidRPr="004D6F3A">
        <w:t xml:space="preserve"> </w:t>
      </w:r>
      <w:r w:rsidR="00FE66C8" w:rsidRPr="004D6F3A">
        <w:t>at (916) 653-</w:t>
      </w:r>
      <w:r w:rsidR="002534D1">
        <w:t>2440</w:t>
      </w:r>
      <w:r w:rsidR="00E0028C" w:rsidRPr="004D6F3A">
        <w:t xml:space="preserve"> </w:t>
      </w:r>
      <w:r w:rsidR="00FE66C8" w:rsidRPr="004D6F3A">
        <w:t xml:space="preserve">or via e-mail at </w:t>
      </w:r>
      <w:hyperlink r:id="rId9" w:history="1">
        <w:r w:rsidR="002534D1" w:rsidRPr="002534D1">
          <w:rPr>
            <w:rStyle w:val="Hyperlink"/>
          </w:rPr>
          <w:t>gpalmertree@treasurer.ca.gov</w:t>
        </w:r>
      </w:hyperlink>
      <w:r w:rsidR="00A005D5" w:rsidRPr="004D6F3A">
        <w:t xml:space="preserve"> </w:t>
      </w:r>
      <w:r w:rsidRPr="004D6F3A">
        <w:rPr>
          <w:bCs/>
        </w:rPr>
        <w:t xml:space="preserve">unless </w:t>
      </w:r>
      <w:r w:rsidR="00A005D5" w:rsidRPr="004D6F3A">
        <w:rPr>
          <w:bCs/>
        </w:rPr>
        <w:t>instructed otherwise by a member of the STO.</w:t>
      </w:r>
      <w:r w:rsidRPr="004D6F3A">
        <w:rPr>
          <w:bCs/>
        </w:rPr>
        <w:t xml:space="preserve"> Failure to adhere to this protocol may result in disqualification</w:t>
      </w:r>
      <w:r w:rsidR="00FE66C8" w:rsidRPr="004D6F3A">
        <w:rPr>
          <w:bCs/>
        </w:rPr>
        <w:t>.</w:t>
      </w:r>
    </w:p>
    <w:p w14:paraId="25FC67DF" w14:textId="77777777" w:rsidR="00FE66C8" w:rsidRPr="004D6F3A" w:rsidRDefault="00FE66C8" w:rsidP="00E0028C">
      <w:pPr>
        <w:jc w:val="both"/>
      </w:pPr>
    </w:p>
    <w:p w14:paraId="5F2992C7" w14:textId="77777777" w:rsidR="00FE66C8" w:rsidRPr="004D6F3A" w:rsidRDefault="00FE66C8" w:rsidP="00E0028C">
      <w:pPr>
        <w:tabs>
          <w:tab w:val="left" w:pos="5400"/>
        </w:tabs>
        <w:jc w:val="both"/>
      </w:pPr>
      <w:r w:rsidRPr="004D6F3A">
        <w:t>Sincerely,</w:t>
      </w:r>
    </w:p>
    <w:p w14:paraId="58F0C20B" w14:textId="77777777" w:rsidR="00FE66C8" w:rsidRPr="004D6F3A" w:rsidRDefault="00FE66C8" w:rsidP="00E0028C">
      <w:pPr>
        <w:jc w:val="both"/>
      </w:pPr>
    </w:p>
    <w:p w14:paraId="27511376" w14:textId="77777777" w:rsidR="0051541D" w:rsidRPr="004D6F3A" w:rsidRDefault="00C51A42" w:rsidP="00E0028C">
      <w:pPr>
        <w:jc w:val="both"/>
      </w:pPr>
      <w:r w:rsidRPr="004D6F3A">
        <w:t>/s/ original signed copy on file</w:t>
      </w:r>
    </w:p>
    <w:p w14:paraId="6C646C2F" w14:textId="77777777" w:rsidR="0051541D" w:rsidRPr="004D6F3A" w:rsidRDefault="0051541D" w:rsidP="00E0028C">
      <w:pPr>
        <w:jc w:val="both"/>
      </w:pPr>
    </w:p>
    <w:p w14:paraId="63972A81" w14:textId="77777777" w:rsidR="00FE66C8" w:rsidRPr="004D6F3A" w:rsidRDefault="004E7E00" w:rsidP="00E0028C">
      <w:pPr>
        <w:tabs>
          <w:tab w:val="left" w:pos="3600"/>
        </w:tabs>
        <w:jc w:val="both"/>
      </w:pPr>
      <w:r w:rsidRPr="004D6F3A">
        <w:t>Blake Fowler</w:t>
      </w:r>
      <w:r w:rsidR="00FE66C8" w:rsidRPr="004D6F3A">
        <w:t>, Director</w:t>
      </w:r>
    </w:p>
    <w:p w14:paraId="39467234" w14:textId="77777777" w:rsidR="00FE66C8" w:rsidRPr="004D6F3A" w:rsidRDefault="00FE66C8" w:rsidP="00E0028C">
      <w:pPr>
        <w:tabs>
          <w:tab w:val="left" w:pos="3600"/>
        </w:tabs>
        <w:jc w:val="both"/>
      </w:pPr>
      <w:r w:rsidRPr="004D6F3A">
        <w:t>Public Finance Division</w:t>
      </w:r>
    </w:p>
    <w:p w14:paraId="43E100EA" w14:textId="77777777" w:rsidR="00523CF4" w:rsidRDefault="00523CF4">
      <w:pPr>
        <w:tabs>
          <w:tab w:val="left" w:pos="3600"/>
        </w:tabs>
        <w:sectPr w:rsidR="00523CF4" w:rsidSect="00523CF4">
          <w:headerReference w:type="default" r:id="rId10"/>
          <w:footerReference w:type="default" r:id="rId11"/>
          <w:headerReference w:type="first" r:id="rId12"/>
          <w:footerReference w:type="first" r:id="rId13"/>
          <w:type w:val="oddPage"/>
          <w:pgSz w:w="12240" w:h="15840" w:code="1"/>
          <w:pgMar w:top="1440" w:right="1440" w:bottom="1440" w:left="1440" w:header="720" w:footer="720" w:gutter="0"/>
          <w:cols w:space="720"/>
          <w:titlePg/>
          <w:docGrid w:linePitch="360"/>
        </w:sectPr>
      </w:pPr>
    </w:p>
    <w:p w14:paraId="5E97F879" w14:textId="77777777" w:rsidR="00D34C62" w:rsidRPr="004D6F3A" w:rsidRDefault="00D34C62">
      <w:pPr>
        <w:tabs>
          <w:tab w:val="left" w:pos="3600"/>
        </w:tabs>
        <w:sectPr w:rsidR="00D34C62" w:rsidRPr="004D6F3A" w:rsidSect="00523CF4">
          <w:type w:val="continuous"/>
          <w:pgSz w:w="12240" w:h="15840" w:code="1"/>
          <w:pgMar w:top="1440" w:right="1440" w:bottom="1440" w:left="1440" w:header="720" w:footer="720" w:gutter="0"/>
          <w:cols w:space="720"/>
          <w:titlePg/>
          <w:docGrid w:linePitch="360"/>
        </w:sectPr>
      </w:pPr>
    </w:p>
    <w:p w14:paraId="07243405" w14:textId="77777777" w:rsidR="007A7FC1" w:rsidRPr="007A7FC1" w:rsidRDefault="007A7FC1" w:rsidP="007A7FC1">
      <w:pPr>
        <w:tabs>
          <w:tab w:val="left" w:pos="3600"/>
        </w:tabs>
        <w:jc w:val="center"/>
        <w:rPr>
          <w:b/>
        </w:rPr>
      </w:pPr>
      <w:r w:rsidRPr="007A7FC1">
        <w:rPr>
          <w:b/>
        </w:rPr>
        <w:lastRenderedPageBreak/>
        <w:t xml:space="preserve">SUPPLEMENTAL REQUEST FOR </w:t>
      </w:r>
    </w:p>
    <w:p w14:paraId="12EC532D" w14:textId="77777777" w:rsidR="007A7FC1" w:rsidRPr="007A7FC1" w:rsidRDefault="007A7FC1" w:rsidP="007A7FC1">
      <w:pPr>
        <w:tabs>
          <w:tab w:val="left" w:pos="3600"/>
        </w:tabs>
        <w:jc w:val="center"/>
        <w:rPr>
          <w:b/>
        </w:rPr>
      </w:pPr>
      <w:r w:rsidRPr="007A7FC1">
        <w:rPr>
          <w:b/>
        </w:rPr>
        <w:t>STATEMENT OF QUALIFICATIONS</w:t>
      </w:r>
    </w:p>
    <w:p w14:paraId="0F3F9109" w14:textId="299DCEBE" w:rsidR="007A7FC1" w:rsidRPr="007A7FC1" w:rsidRDefault="007A7FC1" w:rsidP="007A7FC1">
      <w:pPr>
        <w:tabs>
          <w:tab w:val="left" w:pos="3600"/>
        </w:tabs>
        <w:jc w:val="center"/>
        <w:rPr>
          <w:b/>
        </w:rPr>
      </w:pPr>
      <w:r w:rsidRPr="007A7FC1">
        <w:rPr>
          <w:b/>
        </w:rPr>
        <w:t>BOND COUNSEL AND DISCLOSURE COUNSEL</w:t>
      </w:r>
      <w:r w:rsidR="00697854">
        <w:rPr>
          <w:b/>
        </w:rPr>
        <w:t xml:space="preserve"> SERVICES</w:t>
      </w:r>
    </w:p>
    <w:p w14:paraId="1A694CEA" w14:textId="77777777" w:rsidR="00FE66C8" w:rsidRPr="004D6F3A" w:rsidRDefault="00FE66C8">
      <w:pPr>
        <w:tabs>
          <w:tab w:val="left" w:pos="3600"/>
        </w:tabs>
        <w:jc w:val="center"/>
        <w:rPr>
          <w:b/>
        </w:rPr>
      </w:pPr>
    </w:p>
    <w:p w14:paraId="54B87AA2" w14:textId="77777777" w:rsidR="00066332" w:rsidRPr="004D6F3A" w:rsidRDefault="00066332">
      <w:pPr>
        <w:tabs>
          <w:tab w:val="left" w:pos="3600"/>
        </w:tabs>
        <w:jc w:val="center"/>
        <w:rPr>
          <w:b/>
        </w:rPr>
      </w:pPr>
    </w:p>
    <w:p w14:paraId="44457996" w14:textId="77777777" w:rsidR="00FE66C8" w:rsidRPr="004D6F3A" w:rsidRDefault="00066332" w:rsidP="00066332">
      <w:pPr>
        <w:pStyle w:val="Heading4"/>
        <w:numPr>
          <w:ilvl w:val="0"/>
          <w:numId w:val="48"/>
        </w:numPr>
        <w:rPr>
          <w:rFonts w:ascii="Times New Roman" w:hAnsi="Times New Roman"/>
          <w:u w:val="single"/>
        </w:rPr>
      </w:pPr>
      <w:r w:rsidRPr="004D6F3A">
        <w:rPr>
          <w:rFonts w:ascii="Times New Roman" w:hAnsi="Times New Roman"/>
          <w:u w:val="single"/>
        </w:rPr>
        <w:t>OVERVIEW</w:t>
      </w:r>
    </w:p>
    <w:p w14:paraId="38563613" w14:textId="5AD8F5B1" w:rsidR="00066332" w:rsidRPr="004D6F3A" w:rsidRDefault="00FE66C8">
      <w:pPr>
        <w:ind w:left="720"/>
        <w:jc w:val="both"/>
      </w:pPr>
      <w:r w:rsidRPr="004D6F3A">
        <w:t xml:space="preserve">The California State Treasurer’s Office (STO) requests </w:t>
      </w:r>
      <w:r w:rsidR="00870445" w:rsidRPr="004D6F3A">
        <w:t xml:space="preserve">Supplemental </w:t>
      </w:r>
      <w:r w:rsidRPr="004D6F3A">
        <w:t>Statement of Qualifications</w:t>
      </w:r>
      <w:r w:rsidR="00870445" w:rsidRPr="004D6F3A">
        <w:t xml:space="preserve"> (SOQ)</w:t>
      </w:r>
      <w:r w:rsidRPr="004D6F3A">
        <w:t xml:space="preserve"> for</w:t>
      </w:r>
      <w:r w:rsidR="00B91CAF" w:rsidRPr="004D6F3A">
        <w:t xml:space="preserve"> the following:</w:t>
      </w:r>
      <w:r w:rsidR="004E52BF" w:rsidRPr="004D6F3A">
        <w:t xml:space="preserve"> </w:t>
      </w:r>
    </w:p>
    <w:p w14:paraId="5E6554C9" w14:textId="77777777" w:rsidR="00066332" w:rsidRPr="004D6F3A" w:rsidRDefault="00066332">
      <w:pPr>
        <w:ind w:left="720"/>
        <w:jc w:val="both"/>
      </w:pPr>
    </w:p>
    <w:p w14:paraId="707293B6" w14:textId="77777777" w:rsidR="00066332" w:rsidRPr="004D6F3A" w:rsidRDefault="00FE66C8" w:rsidP="00D75664">
      <w:pPr>
        <w:numPr>
          <w:ilvl w:val="0"/>
          <w:numId w:val="56"/>
        </w:numPr>
        <w:jc w:val="both"/>
      </w:pPr>
      <w:r w:rsidRPr="004D6F3A">
        <w:t xml:space="preserve">Bond </w:t>
      </w:r>
      <w:r w:rsidR="00E0028C" w:rsidRPr="004D6F3A">
        <w:t xml:space="preserve">Counsel </w:t>
      </w:r>
      <w:r w:rsidR="006328E1" w:rsidRPr="004D6F3A">
        <w:t>S</w:t>
      </w:r>
      <w:r w:rsidRPr="004D6F3A">
        <w:t>ervices</w:t>
      </w:r>
      <w:r w:rsidR="00654238" w:rsidRPr="004D6F3A">
        <w:t xml:space="preserve"> </w:t>
      </w:r>
      <w:r w:rsidR="004E52BF" w:rsidRPr="004D6F3A">
        <w:t>for</w:t>
      </w:r>
      <w:r w:rsidRPr="004D6F3A">
        <w:t xml:space="preserve"> the State </w:t>
      </w:r>
      <w:r w:rsidR="00E0028C" w:rsidRPr="004D6F3A">
        <w:t xml:space="preserve">of California’s (State) </w:t>
      </w:r>
      <w:r w:rsidRPr="004D6F3A">
        <w:t xml:space="preserve">General Obligation (GO) </w:t>
      </w:r>
      <w:r w:rsidR="00B91CAF" w:rsidRPr="004D6F3A">
        <w:t>bond</w:t>
      </w:r>
      <w:r w:rsidR="004E52BF" w:rsidRPr="004D6F3A">
        <w:t xml:space="preserve"> and </w:t>
      </w:r>
      <w:r w:rsidR="00B91CAF" w:rsidRPr="004D6F3A">
        <w:t>Revenue Anticipation Notes</w:t>
      </w:r>
      <w:r w:rsidR="004E52BF" w:rsidRPr="004D6F3A">
        <w:t xml:space="preserve"> (RANs) program</w:t>
      </w:r>
      <w:r w:rsidR="00066332" w:rsidRPr="004D6F3A">
        <w:t>s</w:t>
      </w:r>
      <w:r w:rsidR="0022404D" w:rsidRPr="004D6F3A">
        <w:t xml:space="preserve"> (GO</w:t>
      </w:r>
      <w:r w:rsidR="006537CF" w:rsidRPr="004D6F3A">
        <w:t>/</w:t>
      </w:r>
      <w:r w:rsidR="0022404D" w:rsidRPr="004D6F3A">
        <w:t xml:space="preserve">RAN </w:t>
      </w:r>
      <w:r w:rsidR="0064516E" w:rsidRPr="004D6F3A">
        <w:t xml:space="preserve">Bond Counsel </w:t>
      </w:r>
      <w:r w:rsidR="0022404D" w:rsidRPr="004D6F3A">
        <w:t>Assignment)</w:t>
      </w:r>
      <w:r w:rsidR="00B91CAF" w:rsidRPr="004D6F3A">
        <w:t>;</w:t>
      </w:r>
      <w:r w:rsidR="004E52BF" w:rsidRPr="004D6F3A">
        <w:t xml:space="preserve"> </w:t>
      </w:r>
    </w:p>
    <w:p w14:paraId="76998E25" w14:textId="77777777" w:rsidR="00D75664" w:rsidRPr="004D6F3A" w:rsidRDefault="00D75664" w:rsidP="00D75664">
      <w:pPr>
        <w:jc w:val="both"/>
      </w:pPr>
    </w:p>
    <w:p w14:paraId="7BEF2A55" w14:textId="1D85EBFE" w:rsidR="00066332" w:rsidRPr="004D6F3A" w:rsidRDefault="00B501BE" w:rsidP="00D75664">
      <w:pPr>
        <w:numPr>
          <w:ilvl w:val="0"/>
          <w:numId w:val="56"/>
        </w:numPr>
        <w:jc w:val="both"/>
      </w:pPr>
      <w:r w:rsidRPr="004D6F3A">
        <w:t xml:space="preserve">Disclosure Counsel </w:t>
      </w:r>
      <w:r w:rsidR="006328E1" w:rsidRPr="004D6F3A">
        <w:t>Services</w:t>
      </w:r>
      <w:r w:rsidR="004527BE" w:rsidRPr="004D6F3A">
        <w:t xml:space="preserve"> for the GO bond program </w:t>
      </w:r>
      <w:r w:rsidRPr="004D6F3A">
        <w:t xml:space="preserve">(GO </w:t>
      </w:r>
      <w:r w:rsidR="00E825B6" w:rsidRPr="004D6F3A">
        <w:t xml:space="preserve">Disclosure </w:t>
      </w:r>
      <w:r w:rsidR="00444EBA" w:rsidRPr="004D6F3A">
        <w:t xml:space="preserve">Counsel </w:t>
      </w:r>
      <w:r w:rsidR="00E825B6" w:rsidRPr="004D6F3A">
        <w:t>Assignment)</w:t>
      </w:r>
      <w:r w:rsidR="00811483">
        <w:t>;</w:t>
      </w:r>
      <w:r w:rsidR="00977362" w:rsidRPr="004D6F3A">
        <w:t xml:space="preserve"> </w:t>
      </w:r>
    </w:p>
    <w:p w14:paraId="2137F9B0" w14:textId="77777777" w:rsidR="00D75664" w:rsidRPr="004D6F3A" w:rsidRDefault="00D75664" w:rsidP="00D75664">
      <w:pPr>
        <w:jc w:val="both"/>
      </w:pPr>
    </w:p>
    <w:p w14:paraId="7B72A3AF" w14:textId="1C21933B" w:rsidR="00066332" w:rsidRDefault="0022404D" w:rsidP="000523A1">
      <w:pPr>
        <w:pStyle w:val="ListParagraph"/>
        <w:numPr>
          <w:ilvl w:val="0"/>
          <w:numId w:val="56"/>
        </w:numPr>
        <w:jc w:val="both"/>
      </w:pPr>
      <w:r w:rsidRPr="004D6F3A">
        <w:t xml:space="preserve">Disclosure Counsel </w:t>
      </w:r>
      <w:r w:rsidR="006328E1" w:rsidRPr="004D6F3A">
        <w:t>S</w:t>
      </w:r>
      <w:r w:rsidR="004F1B06" w:rsidRPr="004D6F3A">
        <w:t xml:space="preserve">ervices for the State’s Appendix A </w:t>
      </w:r>
      <w:r w:rsidRPr="004D6F3A">
        <w:t xml:space="preserve">(Appendix A </w:t>
      </w:r>
      <w:r w:rsidR="00AB39D9" w:rsidRPr="004D6F3A">
        <w:t xml:space="preserve">Disclosure Counsel </w:t>
      </w:r>
      <w:r w:rsidRPr="004D6F3A">
        <w:t>Assignment)</w:t>
      </w:r>
      <w:r w:rsidR="00B96D1E">
        <w:t>; and</w:t>
      </w:r>
    </w:p>
    <w:p w14:paraId="6AF6BD8B" w14:textId="77777777" w:rsidR="00B96D1E" w:rsidRDefault="00B96D1E" w:rsidP="000523A1">
      <w:pPr>
        <w:pStyle w:val="ListParagraph"/>
      </w:pPr>
    </w:p>
    <w:p w14:paraId="71102FF2" w14:textId="4F1A01B8" w:rsidR="00B96D1E" w:rsidRPr="004D6F3A" w:rsidRDefault="00B96D1E" w:rsidP="000523A1">
      <w:pPr>
        <w:pStyle w:val="ListParagraph"/>
        <w:numPr>
          <w:ilvl w:val="0"/>
          <w:numId w:val="56"/>
        </w:numPr>
        <w:jc w:val="both"/>
      </w:pPr>
      <w:r>
        <w:t xml:space="preserve">Disclosure Counsel Services for the </w:t>
      </w:r>
      <w:r w:rsidR="00B2606E">
        <w:t>State</w:t>
      </w:r>
      <w:r>
        <w:t xml:space="preserve"> Department of Veteran</w:t>
      </w:r>
      <w:r w:rsidR="008D6FAA">
        <w:t>s’</w:t>
      </w:r>
      <w:r>
        <w:t xml:space="preserve"> Affairs </w:t>
      </w:r>
      <w:r w:rsidR="008D6FAA">
        <w:t>(CalVet) bond programs</w:t>
      </w:r>
      <w:r w:rsidR="00F1580E">
        <w:t xml:space="preserve"> (CalVets Disclosure Counsel Assignment) </w:t>
      </w:r>
    </w:p>
    <w:p w14:paraId="77FE6D1A" w14:textId="77777777" w:rsidR="00066332" w:rsidRPr="004D6F3A" w:rsidRDefault="00066332" w:rsidP="00066332">
      <w:pPr>
        <w:ind w:left="1440" w:hanging="720"/>
        <w:jc w:val="both"/>
      </w:pPr>
    </w:p>
    <w:p w14:paraId="76AC7A73" w14:textId="77777777" w:rsidR="0093608B" w:rsidRPr="004D6F3A" w:rsidRDefault="00FE66C8">
      <w:pPr>
        <w:ind w:left="720"/>
        <w:jc w:val="both"/>
      </w:pPr>
      <w:r w:rsidRPr="004D6F3A">
        <w:t xml:space="preserve">The scope of services and the information required to be submitted are outlined in this </w:t>
      </w:r>
      <w:r w:rsidR="00870445" w:rsidRPr="004D6F3A">
        <w:t xml:space="preserve">Supplemental </w:t>
      </w:r>
      <w:r w:rsidRPr="004D6F3A">
        <w:t>Request for Qualifications (RFQ).</w:t>
      </w:r>
    </w:p>
    <w:p w14:paraId="51E27F4B" w14:textId="77777777" w:rsidR="00FE66C8" w:rsidRPr="004D6F3A" w:rsidRDefault="00FE66C8" w:rsidP="0022404D">
      <w:pPr>
        <w:ind w:left="720"/>
        <w:jc w:val="both"/>
      </w:pPr>
    </w:p>
    <w:p w14:paraId="793A4146" w14:textId="62622F8A" w:rsidR="00FE66C8" w:rsidRPr="004D6F3A" w:rsidRDefault="00C14D90" w:rsidP="00E0028C">
      <w:pPr>
        <w:ind w:left="720"/>
        <w:jc w:val="both"/>
      </w:pPr>
      <w:r w:rsidRPr="004D6F3A">
        <w:t xml:space="preserve">As a result of this RFQ, the STO may retain one </w:t>
      </w:r>
      <w:r w:rsidR="002F6C41" w:rsidRPr="004D6F3A">
        <w:t>or more</w:t>
      </w:r>
      <w:r w:rsidRPr="004D6F3A">
        <w:t xml:space="preserve"> firm</w:t>
      </w:r>
      <w:r w:rsidR="002F6C41" w:rsidRPr="004D6F3A">
        <w:t>s</w:t>
      </w:r>
      <w:r w:rsidRPr="004D6F3A">
        <w:t xml:space="preserve"> </w:t>
      </w:r>
      <w:r w:rsidR="00DA633C" w:rsidRPr="004D6F3A">
        <w:t xml:space="preserve">for each assignment </w:t>
      </w:r>
      <w:r w:rsidR="00D63BBF" w:rsidRPr="004D6F3A">
        <w:t>and</w:t>
      </w:r>
      <w:r w:rsidRPr="004D6F3A">
        <w:t xml:space="preserve"> </w:t>
      </w:r>
      <w:r w:rsidR="00DE743D" w:rsidRPr="004D6F3A">
        <w:t xml:space="preserve">will </w:t>
      </w:r>
      <w:r w:rsidR="00FF2C85" w:rsidRPr="004D6F3A">
        <w:t>enter</w:t>
      </w:r>
      <w:r w:rsidR="00DE743D" w:rsidRPr="004D6F3A">
        <w:t xml:space="preserve"> </w:t>
      </w:r>
      <w:r w:rsidR="00F1580E">
        <w:t xml:space="preserve">into </w:t>
      </w:r>
      <w:r w:rsidR="004F1B06" w:rsidRPr="004D6F3A">
        <w:t xml:space="preserve">a </w:t>
      </w:r>
      <w:r w:rsidR="00DE743D" w:rsidRPr="004D6F3A">
        <w:t xml:space="preserve">contract with each firm </w:t>
      </w:r>
      <w:r w:rsidR="00F1580E">
        <w:t xml:space="preserve">selected from </w:t>
      </w:r>
      <w:r w:rsidR="0018656F" w:rsidRPr="004D6F3A">
        <w:t>July 1, 20</w:t>
      </w:r>
      <w:r w:rsidR="001C781F">
        <w:t>23</w:t>
      </w:r>
      <w:r w:rsidR="0018656F" w:rsidRPr="004D6F3A">
        <w:t xml:space="preserve"> to June 30, 20</w:t>
      </w:r>
      <w:r w:rsidR="003562E6" w:rsidRPr="004D6F3A">
        <w:t>2</w:t>
      </w:r>
      <w:r w:rsidR="005019BC">
        <w:t>6</w:t>
      </w:r>
      <w:r w:rsidR="00FE66C8" w:rsidRPr="004D6F3A">
        <w:t xml:space="preserve">. </w:t>
      </w:r>
      <w:r w:rsidR="00DB5C0C" w:rsidRPr="004D6F3A">
        <w:t>The STO reserves the right, with consent of the firm, to extend the contract for any of the assignments beyond June 30, 20</w:t>
      </w:r>
      <w:r w:rsidR="003562E6" w:rsidRPr="004D6F3A">
        <w:t>2</w:t>
      </w:r>
      <w:r w:rsidR="005019BC">
        <w:t>6</w:t>
      </w:r>
      <w:r w:rsidR="00DB5C0C" w:rsidRPr="004D6F3A">
        <w:t>.</w:t>
      </w:r>
    </w:p>
    <w:p w14:paraId="4AE72340" w14:textId="77777777" w:rsidR="002F6C41" w:rsidRPr="004D6F3A" w:rsidRDefault="002F6C41" w:rsidP="00E0028C">
      <w:pPr>
        <w:ind w:left="720"/>
        <w:jc w:val="both"/>
      </w:pPr>
    </w:p>
    <w:p w14:paraId="20401BCE" w14:textId="049E200D" w:rsidR="00D820EC" w:rsidRPr="004D6F3A" w:rsidRDefault="00D820EC" w:rsidP="00E0028C">
      <w:pPr>
        <w:ind w:left="720"/>
        <w:jc w:val="both"/>
      </w:pPr>
      <w:r w:rsidRPr="00B671BA">
        <w:t>Please note that the firm</w:t>
      </w:r>
      <w:r w:rsidR="004F1B06" w:rsidRPr="00B671BA">
        <w:t>s selected</w:t>
      </w:r>
      <w:r w:rsidRPr="00B671BA">
        <w:t xml:space="preserve"> </w:t>
      </w:r>
      <w:r w:rsidR="007366E8" w:rsidRPr="000523A1">
        <w:t xml:space="preserve">as GO/RAN </w:t>
      </w:r>
      <w:r w:rsidR="00ED266A">
        <w:t>B</w:t>
      </w:r>
      <w:r w:rsidR="007366E8" w:rsidRPr="000523A1">
        <w:t xml:space="preserve">ond </w:t>
      </w:r>
      <w:r w:rsidR="00ED266A">
        <w:t>C</w:t>
      </w:r>
      <w:r w:rsidR="007366E8" w:rsidRPr="000523A1">
        <w:t xml:space="preserve">ounsel, GO Disclosure Counsel or Appendix A Disclosure Counsel </w:t>
      </w:r>
      <w:r w:rsidRPr="00B671BA">
        <w:t>will not be permitted to serve as</w:t>
      </w:r>
      <w:r w:rsidR="0044220A" w:rsidRPr="000523A1">
        <w:t xml:space="preserve"> </w:t>
      </w:r>
      <w:r w:rsidR="007366E8" w:rsidRPr="000523A1">
        <w:t xml:space="preserve">underwriter’s counsel </w:t>
      </w:r>
      <w:r w:rsidRPr="00B671BA">
        <w:t>for any State transaction</w:t>
      </w:r>
      <w:r w:rsidR="00327E2E" w:rsidRPr="00B671BA">
        <w:t xml:space="preserve"> that utilizes Appendix A</w:t>
      </w:r>
      <w:r w:rsidRPr="00B671BA">
        <w:t xml:space="preserve"> </w:t>
      </w:r>
      <w:r w:rsidR="00F8444B" w:rsidRPr="00B671BA">
        <w:t>while</w:t>
      </w:r>
      <w:r w:rsidRPr="00B671BA">
        <w:t xml:space="preserve"> engaged for any of the</w:t>
      </w:r>
      <w:r w:rsidR="006537CF" w:rsidRPr="00B671BA">
        <w:t>se</w:t>
      </w:r>
      <w:r w:rsidRPr="00B671BA">
        <w:t xml:space="preserve"> assignments.</w:t>
      </w:r>
    </w:p>
    <w:p w14:paraId="5677613C" w14:textId="46233166" w:rsidR="00F438C6" w:rsidRDefault="00F438C6" w:rsidP="00E0028C">
      <w:pPr>
        <w:ind w:left="720"/>
        <w:jc w:val="both"/>
      </w:pPr>
    </w:p>
    <w:p w14:paraId="4F2AF61D" w14:textId="77777777" w:rsidR="00B671BA" w:rsidRPr="004D6F3A" w:rsidRDefault="00B671BA" w:rsidP="00E0028C">
      <w:pPr>
        <w:ind w:left="720"/>
        <w:jc w:val="both"/>
      </w:pPr>
    </w:p>
    <w:p w14:paraId="3CDA2BDD" w14:textId="77777777" w:rsidR="00FE66C8" w:rsidRPr="004D6F3A" w:rsidRDefault="00FE66C8" w:rsidP="00066332">
      <w:pPr>
        <w:pStyle w:val="Heading1"/>
        <w:numPr>
          <w:ilvl w:val="0"/>
          <w:numId w:val="48"/>
        </w:numPr>
        <w:tabs>
          <w:tab w:val="left" w:pos="720"/>
        </w:tabs>
        <w:rPr>
          <w:rFonts w:ascii="Times New Roman" w:hAnsi="Times New Roman"/>
          <w:szCs w:val="24"/>
        </w:rPr>
      </w:pPr>
      <w:r w:rsidRPr="004D6F3A">
        <w:rPr>
          <w:rFonts w:ascii="Times New Roman" w:hAnsi="Times New Roman"/>
          <w:szCs w:val="24"/>
          <w:u w:val="single"/>
        </w:rPr>
        <w:t>BACKGROUND</w:t>
      </w:r>
    </w:p>
    <w:p w14:paraId="18D19ACC" w14:textId="77777777" w:rsidR="00FE66C8" w:rsidRPr="004D6F3A" w:rsidRDefault="00FE66C8" w:rsidP="007B4E06">
      <w:pPr>
        <w:pStyle w:val="Header"/>
        <w:tabs>
          <w:tab w:val="clear" w:pos="4320"/>
          <w:tab w:val="clear" w:pos="8640"/>
        </w:tabs>
        <w:ind w:left="720"/>
        <w:rPr>
          <w:rFonts w:ascii="Times New Roman" w:hAnsi="Times New Roman"/>
          <w:bCs/>
          <w:szCs w:val="24"/>
        </w:rPr>
      </w:pPr>
    </w:p>
    <w:p w14:paraId="3C2C51F6" w14:textId="77777777" w:rsidR="00CD472E" w:rsidRPr="004D6F3A" w:rsidRDefault="00731232" w:rsidP="00066332">
      <w:pPr>
        <w:pStyle w:val="ListParagraph"/>
        <w:numPr>
          <w:ilvl w:val="0"/>
          <w:numId w:val="47"/>
        </w:numPr>
        <w:autoSpaceDE w:val="0"/>
        <w:autoSpaceDN w:val="0"/>
        <w:adjustRightInd w:val="0"/>
        <w:ind w:left="1440" w:hanging="720"/>
        <w:jc w:val="both"/>
      </w:pPr>
      <w:r w:rsidRPr="004D6F3A">
        <w:rPr>
          <w:b/>
        </w:rPr>
        <w:t>GO BONDS</w:t>
      </w:r>
    </w:p>
    <w:p w14:paraId="0B5119A5" w14:textId="414052A3" w:rsidR="00E10220" w:rsidRPr="004D6F3A" w:rsidRDefault="00E10220" w:rsidP="00066332">
      <w:pPr>
        <w:autoSpaceDE w:val="0"/>
        <w:autoSpaceDN w:val="0"/>
        <w:adjustRightInd w:val="0"/>
        <w:ind w:left="1440"/>
        <w:jc w:val="both"/>
      </w:pPr>
      <w:r w:rsidRPr="004D6F3A">
        <w:t>The S</w:t>
      </w:r>
      <w:r w:rsidR="00F8444B" w:rsidRPr="004D6F3A">
        <w:t>TO</w:t>
      </w:r>
      <w:r w:rsidRPr="004D6F3A">
        <w:t xml:space="preserve"> is responsible for the</w:t>
      </w:r>
      <w:r w:rsidR="0044220A">
        <w:t xml:space="preserve"> sale and</w:t>
      </w:r>
      <w:r w:rsidRPr="004D6F3A">
        <w:t xml:space="preserve"> issuance of State GO Bonds, including commercial paper notes (CP Notes), which are an authorized form of GO Bonds.  Proceeds from GO Bond</w:t>
      </w:r>
      <w:r w:rsidR="00F8444B" w:rsidRPr="004D6F3A">
        <w:t>s</w:t>
      </w:r>
      <w:r w:rsidRPr="004D6F3A">
        <w:t xml:space="preserve"> and </w:t>
      </w:r>
      <w:r w:rsidR="00CD2445">
        <w:t xml:space="preserve">GO </w:t>
      </w:r>
      <w:r w:rsidRPr="004D6F3A">
        <w:t xml:space="preserve">CP Notes </w:t>
      </w:r>
      <w:r w:rsidR="00F8444B" w:rsidRPr="004D6F3A">
        <w:t xml:space="preserve">provide </w:t>
      </w:r>
      <w:r w:rsidRPr="004D6F3A">
        <w:t>fund</w:t>
      </w:r>
      <w:r w:rsidR="00F8444B" w:rsidRPr="004D6F3A">
        <w:t xml:space="preserve">ing for </w:t>
      </w:r>
      <w:r w:rsidRPr="004D6F3A">
        <w:t>projects</w:t>
      </w:r>
      <w:r w:rsidR="00F8444B" w:rsidRPr="004D6F3A">
        <w:t xml:space="preserve"> </w:t>
      </w:r>
      <w:r w:rsidR="0044220A">
        <w:t xml:space="preserve">and purposes </w:t>
      </w:r>
      <w:r w:rsidR="00F8444B" w:rsidRPr="004D6F3A">
        <w:t>authorized under various bond acts approved by the voters of the State.</w:t>
      </w:r>
      <w:r w:rsidRPr="004D6F3A">
        <w:t xml:space="preserve">  </w:t>
      </w:r>
    </w:p>
    <w:p w14:paraId="41518929" w14:textId="77777777" w:rsidR="00E10220" w:rsidRPr="004D6F3A" w:rsidRDefault="00E10220" w:rsidP="00066332">
      <w:pPr>
        <w:autoSpaceDE w:val="0"/>
        <w:autoSpaceDN w:val="0"/>
        <w:adjustRightInd w:val="0"/>
        <w:ind w:left="1440"/>
        <w:jc w:val="both"/>
      </w:pPr>
    </w:p>
    <w:p w14:paraId="6EAE0FB7" w14:textId="65D4FBC4" w:rsidR="00F1580E" w:rsidRPr="00CE3A38" w:rsidRDefault="00F1580E" w:rsidP="00F1580E">
      <w:pPr>
        <w:autoSpaceDE w:val="0"/>
        <w:autoSpaceDN w:val="0"/>
        <w:adjustRightInd w:val="0"/>
        <w:ind w:left="1440"/>
        <w:jc w:val="both"/>
      </w:pPr>
      <w:r>
        <w:t xml:space="preserve">As of </w:t>
      </w:r>
      <w:r w:rsidRPr="001A590D">
        <w:t>January 1, 2023</w:t>
      </w:r>
      <w:r>
        <w:t>, the State had $68.3 billion in non-self-liquidating</w:t>
      </w:r>
      <w:r w:rsidR="003F519E">
        <w:t xml:space="preserve"> </w:t>
      </w:r>
      <w:r>
        <w:t>GO Bonds outstanding and $27.8 billion in authorized but unissued non-self-liquidating GO Bonds. The State also had approximately $1.3 billion in outstanding</w:t>
      </w:r>
      <w:r w:rsidR="00B2606E">
        <w:t xml:space="preserve"> CP Notes</w:t>
      </w:r>
      <w:r>
        <w:t xml:space="preserve">. </w:t>
      </w:r>
      <w:r>
        <w:lastRenderedPageBreak/>
        <w:t xml:space="preserve">There are approximately 60 GO bond acts under which long term bonds and/or commercial paper are outstanding of which over 30 bond acts have authority remaining to be issued.  Further, there are approximately 78 issues of GO bonds outstanding, comprised of over 1,300 series and over 1,000 maturities across the various bond acts. </w:t>
      </w:r>
      <w:r w:rsidRPr="002C6CD4">
        <w:t>Each GO bond act creates a separate series within a GO bond issue. Each maturity of a bond issue may be assigned to one or more bond acts. GO Bonds are not required to be assigned proportionately by bond act within an issue.</w:t>
      </w:r>
    </w:p>
    <w:p w14:paraId="0B812BBA" w14:textId="13C01E38" w:rsidR="0044220A" w:rsidRDefault="0044220A" w:rsidP="00A60B81">
      <w:pPr>
        <w:autoSpaceDE w:val="0"/>
        <w:autoSpaceDN w:val="0"/>
        <w:adjustRightInd w:val="0"/>
        <w:ind w:left="1440"/>
        <w:jc w:val="both"/>
      </w:pPr>
    </w:p>
    <w:p w14:paraId="6EFCCA3A" w14:textId="31138EBB" w:rsidR="003F519E" w:rsidRPr="00CE3A38" w:rsidRDefault="003F519E" w:rsidP="003F519E">
      <w:pPr>
        <w:autoSpaceDE w:val="0"/>
        <w:autoSpaceDN w:val="0"/>
        <w:adjustRightInd w:val="0"/>
        <w:ind w:left="1440"/>
        <w:jc w:val="both"/>
      </w:pPr>
      <w:r>
        <w:t xml:space="preserve">$749.2 million </w:t>
      </w:r>
      <w:r w:rsidR="00CE74DF">
        <w:t xml:space="preserve">of the State’s outstanding debt </w:t>
      </w:r>
      <w:r>
        <w:t>is variable rate debt. In connection with the State’s variable rate and CP Notes programs, the State has entered into several reimbursement agreements or other credit agreements with a variety of financial institutions. As of January 1, 2023, the State maintained agreements with 12 different financial institutions.</w:t>
      </w:r>
    </w:p>
    <w:p w14:paraId="1EC76C36" w14:textId="77777777" w:rsidR="00007988" w:rsidRPr="004D6F3A" w:rsidRDefault="00007988" w:rsidP="000523A1">
      <w:pPr>
        <w:autoSpaceDE w:val="0"/>
        <w:autoSpaceDN w:val="0"/>
        <w:adjustRightInd w:val="0"/>
        <w:jc w:val="both"/>
      </w:pPr>
    </w:p>
    <w:p w14:paraId="638F157A" w14:textId="77777777" w:rsidR="007D1F7F" w:rsidRPr="004D6F3A" w:rsidRDefault="007D1F7F" w:rsidP="00066332">
      <w:pPr>
        <w:pStyle w:val="ListParagraph"/>
        <w:numPr>
          <w:ilvl w:val="0"/>
          <w:numId w:val="47"/>
        </w:numPr>
        <w:autoSpaceDE w:val="0"/>
        <w:autoSpaceDN w:val="0"/>
        <w:adjustRightInd w:val="0"/>
        <w:ind w:left="1440" w:hanging="720"/>
        <w:jc w:val="both"/>
        <w:rPr>
          <w:b/>
        </w:rPr>
      </w:pPr>
      <w:r w:rsidRPr="004D6F3A">
        <w:rPr>
          <w:b/>
        </w:rPr>
        <w:t>RANs</w:t>
      </w:r>
    </w:p>
    <w:p w14:paraId="0337DC90" w14:textId="72BB90B4" w:rsidR="00E10220" w:rsidRPr="004D6F3A" w:rsidRDefault="00A469F2" w:rsidP="00066332">
      <w:pPr>
        <w:autoSpaceDE w:val="0"/>
        <w:autoSpaceDN w:val="0"/>
        <w:adjustRightInd w:val="0"/>
        <w:ind w:left="1440"/>
        <w:jc w:val="both"/>
      </w:pPr>
      <w:r w:rsidRPr="004D6F3A">
        <w:t>Historically, a</w:t>
      </w:r>
      <w:r w:rsidR="00E10220" w:rsidRPr="004D6F3A">
        <w:t xml:space="preserve">s part of its cash management program, the State </w:t>
      </w:r>
      <w:r w:rsidRPr="004D6F3A">
        <w:t>regularly</w:t>
      </w:r>
      <w:r w:rsidR="00E10220" w:rsidRPr="004D6F3A">
        <w:t xml:space="preserve"> issue</w:t>
      </w:r>
      <w:r w:rsidRPr="004D6F3A">
        <w:t>d</w:t>
      </w:r>
      <w:r w:rsidR="00E10220" w:rsidRPr="004D6F3A">
        <w:t xml:space="preserve"> short-term RANs to partially fund timing differences between receipts and disbursements, as the majority of General Fund revenues are received in the latter part of the fiscal year.  By </w:t>
      </w:r>
      <w:r w:rsidR="00ED266A">
        <w:t xml:space="preserve">State </w:t>
      </w:r>
      <w:r w:rsidR="00E10220" w:rsidRPr="004D6F3A">
        <w:t xml:space="preserve">law, RANs must mature prior to the end of the fiscal year of issuance. </w:t>
      </w:r>
      <w:r w:rsidR="00714342">
        <w:t>T</w:t>
      </w:r>
      <w:r w:rsidR="002D4650" w:rsidRPr="004D6F3A">
        <w:t xml:space="preserve">he </w:t>
      </w:r>
      <w:r w:rsidRPr="004D6F3A">
        <w:t>State has not issued RANs since fiscal year 2014-15.</w:t>
      </w:r>
    </w:p>
    <w:p w14:paraId="111541BA" w14:textId="77777777" w:rsidR="00DA633C" w:rsidRPr="004D6F3A" w:rsidRDefault="00DA633C" w:rsidP="00E10220">
      <w:pPr>
        <w:autoSpaceDE w:val="0"/>
        <w:autoSpaceDN w:val="0"/>
        <w:adjustRightInd w:val="0"/>
        <w:ind w:left="719" w:firstLine="1"/>
        <w:jc w:val="both"/>
      </w:pPr>
    </w:p>
    <w:p w14:paraId="77874600" w14:textId="77777777" w:rsidR="00DA633C" w:rsidRPr="004D6F3A" w:rsidRDefault="00731232" w:rsidP="00066332">
      <w:pPr>
        <w:pStyle w:val="ListParagraph"/>
        <w:numPr>
          <w:ilvl w:val="0"/>
          <w:numId w:val="47"/>
        </w:numPr>
        <w:autoSpaceDE w:val="0"/>
        <w:autoSpaceDN w:val="0"/>
        <w:adjustRightInd w:val="0"/>
        <w:ind w:left="1440" w:hanging="720"/>
        <w:jc w:val="both"/>
        <w:rPr>
          <w:b/>
        </w:rPr>
      </w:pPr>
      <w:r w:rsidRPr="004D6F3A">
        <w:rPr>
          <w:b/>
        </w:rPr>
        <w:t>APPENDIX A DISCLOSURE</w:t>
      </w:r>
    </w:p>
    <w:p w14:paraId="1B955F25" w14:textId="2FBF384D" w:rsidR="00BA7A78" w:rsidRPr="004D6F3A" w:rsidRDefault="008324A8" w:rsidP="00066332">
      <w:pPr>
        <w:tabs>
          <w:tab w:val="left" w:pos="720"/>
        </w:tabs>
        <w:ind w:left="1440"/>
        <w:jc w:val="both"/>
      </w:pPr>
      <w:r w:rsidRPr="004D6F3A">
        <w:t>The S</w:t>
      </w:r>
      <w:r w:rsidR="00F8444B" w:rsidRPr="004D6F3A">
        <w:t>TO</w:t>
      </w:r>
      <w:r w:rsidRPr="004D6F3A">
        <w:t xml:space="preserve"> is responsible for coordinating the State’s Appendix A disclosure </w:t>
      </w:r>
      <w:r w:rsidR="008D2F7D" w:rsidRPr="004D6F3A">
        <w:t>document</w:t>
      </w:r>
      <w:r w:rsidRPr="004D6F3A">
        <w:t>, which is used in offering documents for the State’s General Fund supported bond programs including</w:t>
      </w:r>
      <w:r w:rsidR="0044220A">
        <w:t xml:space="preserve"> but not limited to</w:t>
      </w:r>
      <w:r w:rsidRPr="004D6F3A">
        <w:t xml:space="preserve"> the GO, </w:t>
      </w:r>
      <w:r w:rsidR="00F8444B" w:rsidRPr="004D6F3A">
        <w:t>lease revenue bonds</w:t>
      </w:r>
      <w:r w:rsidR="00870445" w:rsidRPr="004D6F3A">
        <w:t>,</w:t>
      </w:r>
      <w:r w:rsidR="00206BA9" w:rsidRPr="004D6F3A">
        <w:t xml:space="preserve"> </w:t>
      </w:r>
      <w:r w:rsidRPr="004D6F3A">
        <w:t xml:space="preserve">and </w:t>
      </w:r>
      <w:r w:rsidR="0044220A" w:rsidRPr="004D6F3A">
        <w:t>RANs</w:t>
      </w:r>
      <w:r w:rsidRPr="004D6F3A">
        <w:t xml:space="preserve">.  </w:t>
      </w:r>
      <w:r w:rsidR="00C46943" w:rsidRPr="004D6F3A">
        <w:t xml:space="preserve">The Appendix A disclosure document </w:t>
      </w:r>
      <w:r w:rsidR="0044220A">
        <w:t xml:space="preserve">focuses on material </w:t>
      </w:r>
      <w:r w:rsidRPr="004D6F3A">
        <w:t xml:space="preserve">information </w:t>
      </w:r>
      <w:r w:rsidR="0044220A">
        <w:t>related to</w:t>
      </w:r>
      <w:r w:rsidRPr="004D6F3A">
        <w:t xml:space="preserve"> </w:t>
      </w:r>
      <w:r w:rsidR="0044220A">
        <w:t xml:space="preserve">the financial condition of the State’s General Fund. This includes information related to </w:t>
      </w:r>
      <w:r w:rsidR="00721DB8" w:rsidRPr="004D6F3A">
        <w:t>S</w:t>
      </w:r>
      <w:r w:rsidR="008D2F7D" w:rsidRPr="004D6F3A">
        <w:t xml:space="preserve">tate finances, proposed, current and past years’ budgets, recent developments regarding the </w:t>
      </w:r>
      <w:r w:rsidR="00721DB8" w:rsidRPr="004D6F3A">
        <w:t>S</w:t>
      </w:r>
      <w:r w:rsidR="008D2F7D" w:rsidRPr="004D6F3A">
        <w:t xml:space="preserve">tate’s economy, </w:t>
      </w:r>
      <w:r w:rsidR="00721DB8" w:rsidRPr="004D6F3A">
        <w:t>S</w:t>
      </w:r>
      <w:r w:rsidR="008D2F7D" w:rsidRPr="004D6F3A">
        <w:t xml:space="preserve">tate indebtedness and other obligations, overview and principal information on </w:t>
      </w:r>
      <w:r w:rsidR="00721DB8" w:rsidRPr="004D6F3A">
        <w:t>S</w:t>
      </w:r>
      <w:r w:rsidR="008D2F7D" w:rsidRPr="004D6F3A">
        <w:t xml:space="preserve">tate government, </w:t>
      </w:r>
      <w:r w:rsidR="00721DB8" w:rsidRPr="004D6F3A">
        <w:t>information on the S</w:t>
      </w:r>
      <w:r w:rsidR="00076516" w:rsidRPr="004D6F3A">
        <w:t xml:space="preserve">tate’s pension systems, </w:t>
      </w:r>
      <w:r w:rsidRPr="004D6F3A">
        <w:t xml:space="preserve">investment of </w:t>
      </w:r>
      <w:r w:rsidR="00721DB8" w:rsidRPr="004D6F3A">
        <w:t>S</w:t>
      </w:r>
      <w:r w:rsidRPr="004D6F3A">
        <w:t>tate funds, updates on ongoing litigation</w:t>
      </w:r>
      <w:r w:rsidR="00870445" w:rsidRPr="004D6F3A">
        <w:t>,</w:t>
      </w:r>
      <w:r w:rsidRPr="004D6F3A">
        <w:t xml:space="preserve"> and </w:t>
      </w:r>
      <w:r w:rsidR="008D2F7D" w:rsidRPr="004D6F3A">
        <w:t xml:space="preserve">current </w:t>
      </w:r>
      <w:r w:rsidRPr="004D6F3A">
        <w:t xml:space="preserve">financial </w:t>
      </w:r>
      <w:r w:rsidR="008D2F7D" w:rsidRPr="004D6F3A">
        <w:t>information</w:t>
      </w:r>
      <w:r w:rsidRPr="004D6F3A">
        <w:t xml:space="preserve"> </w:t>
      </w:r>
      <w:r w:rsidR="008D2F7D" w:rsidRPr="004D6F3A">
        <w:t xml:space="preserve">of the </w:t>
      </w:r>
      <w:r w:rsidR="00721DB8" w:rsidRPr="004D6F3A">
        <w:t>S</w:t>
      </w:r>
      <w:r w:rsidR="008D2F7D" w:rsidRPr="004D6F3A">
        <w:t>tate</w:t>
      </w:r>
      <w:r w:rsidRPr="004D6F3A">
        <w:t>.</w:t>
      </w:r>
    </w:p>
    <w:p w14:paraId="4C6FCCB5" w14:textId="77777777" w:rsidR="00BA7A78" w:rsidRPr="004D6F3A" w:rsidRDefault="00BA7A78" w:rsidP="00066332">
      <w:pPr>
        <w:ind w:left="1440"/>
        <w:jc w:val="both"/>
      </w:pPr>
    </w:p>
    <w:p w14:paraId="780D136B" w14:textId="0B0CF599" w:rsidR="008324A8" w:rsidRDefault="008324A8" w:rsidP="00761AEC">
      <w:pPr>
        <w:tabs>
          <w:tab w:val="left" w:pos="720"/>
          <w:tab w:val="left" w:pos="1350"/>
        </w:tabs>
        <w:ind w:left="1440"/>
        <w:jc w:val="both"/>
      </w:pPr>
      <w:r w:rsidRPr="004D6F3A">
        <w:t>The primary contributors to Appendix A are the Department of Finance</w:t>
      </w:r>
      <w:r w:rsidR="00036738" w:rsidRPr="004D6F3A">
        <w:t xml:space="preserve"> (DOF)</w:t>
      </w:r>
      <w:r w:rsidRPr="004D6F3A">
        <w:t>, the State Controller’s Office</w:t>
      </w:r>
      <w:r w:rsidR="00036738" w:rsidRPr="004D6F3A">
        <w:t xml:space="preserve"> (SCO)</w:t>
      </w:r>
      <w:r w:rsidRPr="004D6F3A">
        <w:t>, the STO</w:t>
      </w:r>
      <w:r w:rsidR="00870445" w:rsidRPr="004D6F3A">
        <w:t>,</w:t>
      </w:r>
      <w:r w:rsidRPr="004D6F3A">
        <w:t xml:space="preserve"> and the Attorney General’s Office</w:t>
      </w:r>
      <w:r w:rsidR="00CE19E6" w:rsidRPr="004D6F3A">
        <w:t xml:space="preserve">.  </w:t>
      </w:r>
      <w:r w:rsidRPr="004D6F3A">
        <w:t xml:space="preserve">In addition to the </w:t>
      </w:r>
      <w:r w:rsidR="00CE19E6" w:rsidRPr="004D6F3A">
        <w:t>above-mentioned</w:t>
      </w:r>
      <w:r w:rsidRPr="004D6F3A">
        <w:t xml:space="preserve"> agencies, other </w:t>
      </w:r>
      <w:r w:rsidR="00870445" w:rsidRPr="004D6F3A">
        <w:t>S</w:t>
      </w:r>
      <w:r w:rsidRPr="004D6F3A">
        <w:t xml:space="preserve">tate </w:t>
      </w:r>
      <w:r w:rsidR="00521360" w:rsidRPr="004D6F3A">
        <w:t>entities</w:t>
      </w:r>
      <w:r w:rsidR="00C46943" w:rsidRPr="004D6F3A">
        <w:t>, such as the California Public Employee</w:t>
      </w:r>
      <w:r w:rsidR="006537CF" w:rsidRPr="004D6F3A">
        <w:t>s’</w:t>
      </w:r>
      <w:r w:rsidR="00C46943" w:rsidRPr="004D6F3A">
        <w:t xml:space="preserve"> Retire</w:t>
      </w:r>
      <w:r w:rsidR="00036738" w:rsidRPr="004D6F3A">
        <w:t>ment System</w:t>
      </w:r>
      <w:r w:rsidR="00C46943" w:rsidRPr="004D6F3A">
        <w:t xml:space="preserve"> and the California State Teach</w:t>
      </w:r>
      <w:r w:rsidR="00036738" w:rsidRPr="004D6F3A">
        <w:t>ers’ Retirement System</w:t>
      </w:r>
      <w:r w:rsidRPr="004D6F3A">
        <w:t xml:space="preserve"> </w:t>
      </w:r>
      <w:r w:rsidR="009B02F8" w:rsidRPr="004D6F3A">
        <w:t xml:space="preserve">may </w:t>
      </w:r>
      <w:r w:rsidRPr="004D6F3A">
        <w:t xml:space="preserve">provide contributions to Appendix A.  The Appendix A document is sensitive to changes in the </w:t>
      </w:r>
      <w:r w:rsidR="00721DB8" w:rsidRPr="004D6F3A">
        <w:t>S</w:t>
      </w:r>
      <w:r w:rsidRPr="004D6F3A">
        <w:t>tate budget, annual financial reports, legislat</w:t>
      </w:r>
      <w:r w:rsidR="00521360" w:rsidRPr="004D6F3A">
        <w:t>ive</w:t>
      </w:r>
      <w:r w:rsidRPr="004D6F3A">
        <w:t xml:space="preserve"> activity</w:t>
      </w:r>
      <w:r w:rsidR="006537CF" w:rsidRPr="004D6F3A">
        <w:t>,</w:t>
      </w:r>
      <w:r w:rsidRPr="004D6F3A">
        <w:t xml:space="preserve"> relevant headline news</w:t>
      </w:r>
      <w:r w:rsidR="00870445" w:rsidRPr="004D6F3A">
        <w:t>,</w:t>
      </w:r>
      <w:r w:rsidRPr="004D6F3A">
        <w:t xml:space="preserve"> and current events.</w:t>
      </w:r>
    </w:p>
    <w:p w14:paraId="0B36970C" w14:textId="768D645E" w:rsidR="00B96D1E" w:rsidRDefault="00B96D1E" w:rsidP="00761AEC">
      <w:pPr>
        <w:tabs>
          <w:tab w:val="left" w:pos="720"/>
          <w:tab w:val="left" w:pos="1350"/>
        </w:tabs>
        <w:ind w:left="1440"/>
        <w:jc w:val="both"/>
      </w:pPr>
    </w:p>
    <w:p w14:paraId="1E1F0A00" w14:textId="7880B828" w:rsidR="00B96D1E" w:rsidRDefault="008D6FAA" w:rsidP="00B96D1E">
      <w:pPr>
        <w:pStyle w:val="ListParagraph"/>
        <w:numPr>
          <w:ilvl w:val="0"/>
          <w:numId w:val="47"/>
        </w:numPr>
        <w:autoSpaceDE w:val="0"/>
        <w:autoSpaceDN w:val="0"/>
        <w:adjustRightInd w:val="0"/>
        <w:ind w:left="1440" w:hanging="720"/>
        <w:jc w:val="both"/>
        <w:rPr>
          <w:b/>
        </w:rPr>
      </w:pPr>
      <w:r>
        <w:rPr>
          <w:b/>
        </w:rPr>
        <w:t xml:space="preserve">CalVet Bonds </w:t>
      </w:r>
    </w:p>
    <w:p w14:paraId="737F07F4" w14:textId="68C1C53A" w:rsidR="008D6FAA" w:rsidRDefault="00714342" w:rsidP="000523A1">
      <w:pPr>
        <w:tabs>
          <w:tab w:val="left" w:pos="1440"/>
        </w:tabs>
        <w:autoSpaceDE w:val="0"/>
        <w:autoSpaceDN w:val="0"/>
        <w:adjustRightInd w:val="0"/>
        <w:ind w:left="1440"/>
        <w:jc w:val="both"/>
      </w:pPr>
      <w:r>
        <w:t>CalVet General Obligation (</w:t>
      </w:r>
      <w:bookmarkStart w:id="0" w:name="_Hlk130236830"/>
      <w:r w:rsidR="008D6FAA">
        <w:t>Vets</w:t>
      </w:r>
      <w:r w:rsidR="008D6FAA" w:rsidRPr="00147AAF">
        <w:t xml:space="preserve"> GO</w:t>
      </w:r>
      <w:r>
        <w:t>)</w:t>
      </w:r>
      <w:r w:rsidR="008D6FAA" w:rsidRPr="00147AAF">
        <w:t xml:space="preserve"> Bonds </w:t>
      </w:r>
      <w:r w:rsidR="008D6FAA">
        <w:t xml:space="preserve">and </w:t>
      </w:r>
      <w:r>
        <w:t>Cal</w:t>
      </w:r>
      <w:r w:rsidR="008D6FAA">
        <w:t>Vet</w:t>
      </w:r>
      <w:r>
        <w:t xml:space="preserve"> Home Purchase Revenue (Vets</w:t>
      </w:r>
      <w:r w:rsidR="008D6FAA">
        <w:t xml:space="preserve"> Revenue</w:t>
      </w:r>
      <w:r>
        <w:t>)</w:t>
      </w:r>
      <w:r w:rsidR="008D6FAA">
        <w:t xml:space="preserve"> Bonds </w:t>
      </w:r>
      <w:r w:rsidR="008D6FAA" w:rsidRPr="00147AAF">
        <w:t xml:space="preserve">provide funds for the </w:t>
      </w:r>
      <w:r w:rsidR="008D6FAA">
        <w:t xml:space="preserve">CalVet </w:t>
      </w:r>
      <w:r w:rsidR="008D6FAA" w:rsidRPr="00147AAF">
        <w:t xml:space="preserve">Home Loans Program. </w:t>
      </w:r>
      <w:r w:rsidR="008D6FAA" w:rsidRPr="00CA40EF" w:rsidDel="00BC367D">
        <w:t>Since its establishment in 1921, the Home Loans Program has provided loans to 42</w:t>
      </w:r>
      <w:r w:rsidR="008D6FAA" w:rsidRPr="00CE3A38" w:rsidDel="00BC367D">
        <w:t>6</w:t>
      </w:r>
      <w:r w:rsidR="008D6FAA" w:rsidRPr="00CA40EF" w:rsidDel="00BC367D">
        <w:t>,</w:t>
      </w:r>
      <w:r w:rsidR="008D6FAA" w:rsidRPr="00CE3A38" w:rsidDel="00BC367D">
        <w:t>5</w:t>
      </w:r>
      <w:r w:rsidR="008D6FAA" w:rsidRPr="00CA40EF" w:rsidDel="00BC367D">
        <w:t xml:space="preserve">00 veterans in California.  </w:t>
      </w:r>
      <w:r w:rsidR="008D6FAA" w:rsidRPr="00147AAF">
        <w:t>Vet</w:t>
      </w:r>
      <w:r w:rsidR="008D6FAA">
        <w:t>s</w:t>
      </w:r>
      <w:r w:rsidR="008D6FAA" w:rsidRPr="00147AAF">
        <w:t xml:space="preserve"> GO Bonds are considered “self-liquidating” GO bonds </w:t>
      </w:r>
      <w:r w:rsidR="008D6FAA" w:rsidRPr="00147AAF">
        <w:lastRenderedPageBreak/>
        <w:t>since debt service is first paid from the Veterans' Farm and Home Building Fund of 1943 (the "1943 Fund")</w:t>
      </w:r>
      <w:r w:rsidR="008D6FAA">
        <w:t>, a revolving special fund in the State Treasury</w:t>
      </w:r>
      <w:r w:rsidR="008D6FAA" w:rsidRPr="00147AAF">
        <w:t>.</w:t>
      </w:r>
      <w:r w:rsidR="008D6FAA">
        <w:t xml:space="preserve"> </w:t>
      </w:r>
      <w:r w:rsidR="008D6FAA" w:rsidRPr="00147AAF">
        <w:t xml:space="preserve"> </w:t>
      </w:r>
      <w:bookmarkEnd w:id="0"/>
      <w:r w:rsidR="008D6FAA" w:rsidRPr="00147AAF">
        <w:t xml:space="preserve">If monies in the 1943 Fund are insufficient to pay debt service when due, the balance is payable from the State’s General Fund.  As of </w:t>
      </w:r>
      <w:r w:rsidR="008D6FAA">
        <w:t>January 1, 2023</w:t>
      </w:r>
      <w:r w:rsidR="008D6FAA" w:rsidRPr="00147AAF">
        <w:t xml:space="preserve">, the State had </w:t>
      </w:r>
      <w:r w:rsidR="008D6FAA">
        <w:t>$675.</w:t>
      </w:r>
      <w:r>
        <w:t>7</w:t>
      </w:r>
      <w:r w:rsidR="008D6FAA" w:rsidRPr="00147AAF">
        <w:t xml:space="preserve"> million in Vet</w:t>
      </w:r>
      <w:r w:rsidR="008D6FAA">
        <w:t>s</w:t>
      </w:r>
      <w:r w:rsidR="008D6FAA" w:rsidRPr="00147AAF">
        <w:t xml:space="preserve"> GO Bonds outstanding and </w:t>
      </w:r>
      <w:r w:rsidR="008D6FAA">
        <w:t>$</w:t>
      </w:r>
      <w:r>
        <w:t>636.2</w:t>
      </w:r>
      <w:r w:rsidR="008D6FAA">
        <w:t xml:space="preserve"> million</w:t>
      </w:r>
      <w:r w:rsidR="008D6FAA" w:rsidRPr="00147AAF">
        <w:t xml:space="preserve"> in authorized but unissued Vet</w:t>
      </w:r>
      <w:r w:rsidR="008D6FAA">
        <w:t>s</w:t>
      </w:r>
      <w:r w:rsidR="008D6FAA" w:rsidRPr="00147AAF">
        <w:t xml:space="preserve"> GO Bonds.</w:t>
      </w:r>
    </w:p>
    <w:p w14:paraId="182FD841" w14:textId="5161A48C" w:rsidR="00487E39" w:rsidRDefault="00487E39" w:rsidP="00487E39">
      <w:pPr>
        <w:pStyle w:val="ListParagraph"/>
        <w:autoSpaceDE w:val="0"/>
        <w:autoSpaceDN w:val="0"/>
        <w:adjustRightInd w:val="0"/>
        <w:ind w:left="1440"/>
      </w:pPr>
    </w:p>
    <w:p w14:paraId="6FFC68B0" w14:textId="140C7BEA" w:rsidR="00FF2C85" w:rsidRDefault="006F04C8" w:rsidP="000523A1">
      <w:pPr>
        <w:pStyle w:val="ListParagraph"/>
        <w:autoSpaceDE w:val="0"/>
        <w:autoSpaceDN w:val="0"/>
        <w:adjustRightInd w:val="0"/>
        <w:ind w:left="1440"/>
        <w:jc w:val="both"/>
      </w:pPr>
      <w:r>
        <w:t xml:space="preserve">Vets Revenue Bonds </w:t>
      </w:r>
      <w:r w:rsidR="005019BC" w:rsidRPr="004C0D64">
        <w:t xml:space="preserve">are special obligations </w:t>
      </w:r>
      <w:r w:rsidR="00714342">
        <w:t xml:space="preserve">of </w:t>
      </w:r>
      <w:r>
        <w:t xml:space="preserve">CalVet and </w:t>
      </w:r>
      <w:r w:rsidR="005019BC" w:rsidRPr="004C0D64">
        <w:t>payable solely from</w:t>
      </w:r>
      <w:r w:rsidR="00ED266A">
        <w:t>,</w:t>
      </w:r>
      <w:r w:rsidR="005019BC" w:rsidRPr="004C0D64">
        <w:t xml:space="preserve"> and equally and ratably secured with other </w:t>
      </w:r>
      <w:r>
        <w:t>Vets Revenue Bonds</w:t>
      </w:r>
      <w:r w:rsidR="005019BC" w:rsidRPr="000523A1">
        <w:t xml:space="preserve"> </w:t>
      </w:r>
      <w:r w:rsidR="005019BC" w:rsidRPr="004C0D64">
        <w:t>by a pledge of, an undivided</w:t>
      </w:r>
      <w:r w:rsidR="001D2C26" w:rsidRPr="004C0D64">
        <w:t xml:space="preserve"> </w:t>
      </w:r>
      <w:r w:rsidR="005019BC" w:rsidRPr="004C0D64">
        <w:t xml:space="preserve">interest in the assets of the 1943 Fund other than </w:t>
      </w:r>
      <w:r w:rsidR="001D2C26" w:rsidRPr="004C0D64">
        <w:t>p</w:t>
      </w:r>
      <w:r w:rsidR="005019BC" w:rsidRPr="004C0D64">
        <w:t>roceeds of Vets GO bonds</w:t>
      </w:r>
      <w:r>
        <w:t>,</w:t>
      </w:r>
      <w:r w:rsidR="005019BC" w:rsidRPr="004C0D64">
        <w:t xml:space="preserve"> and </w:t>
      </w:r>
      <w:r>
        <w:t xml:space="preserve">certain other funds. </w:t>
      </w:r>
      <w:r w:rsidR="005019BC" w:rsidRPr="004C0D64">
        <w:t>Neither</w:t>
      </w:r>
      <w:r w:rsidR="004C0D64" w:rsidRPr="004C0D64">
        <w:t xml:space="preserve"> </w:t>
      </w:r>
      <w:r w:rsidR="005019BC" w:rsidRPr="004C0D64">
        <w:t>the faith and credit nor the taxing power of the State or any political subdivision thereof is pledged to the</w:t>
      </w:r>
      <w:r w:rsidR="004C0D64" w:rsidRPr="004C0D64">
        <w:t xml:space="preserve"> </w:t>
      </w:r>
      <w:r w:rsidR="005019BC" w:rsidRPr="004C0D64">
        <w:t xml:space="preserve">payment of the principal of or the interest on </w:t>
      </w:r>
      <w:r>
        <w:t xml:space="preserve">Vets Revenue Bonds. </w:t>
      </w:r>
      <w:r w:rsidR="00CD2445">
        <w:t>As of January 1, 2023, the State had $</w:t>
      </w:r>
      <w:r w:rsidR="00714342">
        <w:t xml:space="preserve">431.8 million </w:t>
      </w:r>
      <w:r w:rsidR="00CD2445">
        <w:t>in Vets Revenue Bonds outstanding.</w:t>
      </w:r>
    </w:p>
    <w:p w14:paraId="6F2010BB" w14:textId="524699F5" w:rsidR="005019BC" w:rsidRDefault="005019BC" w:rsidP="000523A1">
      <w:pPr>
        <w:pStyle w:val="ListParagraph"/>
        <w:ind w:left="1440"/>
        <w:jc w:val="both"/>
      </w:pPr>
    </w:p>
    <w:p w14:paraId="47E95773" w14:textId="77777777" w:rsidR="005019BC" w:rsidRDefault="005019BC" w:rsidP="005019BC"/>
    <w:p w14:paraId="28AEDDA5" w14:textId="08F8B2A0" w:rsidR="00FE66C8" w:rsidRPr="000523A1" w:rsidRDefault="00FE66C8" w:rsidP="000523A1">
      <w:pPr>
        <w:pStyle w:val="Heading1"/>
        <w:numPr>
          <w:ilvl w:val="0"/>
          <w:numId w:val="48"/>
        </w:numPr>
        <w:tabs>
          <w:tab w:val="left" w:pos="720"/>
        </w:tabs>
        <w:rPr>
          <w:u w:val="single"/>
        </w:rPr>
      </w:pPr>
      <w:r w:rsidRPr="000523A1">
        <w:rPr>
          <w:rFonts w:ascii="Times New Roman" w:hAnsi="Times New Roman"/>
          <w:szCs w:val="24"/>
          <w:u w:val="single"/>
        </w:rPr>
        <w:t>SCOPE OF SERVICES</w:t>
      </w:r>
    </w:p>
    <w:p w14:paraId="5779BA76" w14:textId="77777777" w:rsidR="00FE66C8" w:rsidRPr="004D6F3A" w:rsidRDefault="00FE66C8">
      <w:pPr>
        <w:ind w:left="720" w:hanging="720"/>
        <w:rPr>
          <w:b/>
        </w:rPr>
      </w:pPr>
    </w:p>
    <w:p w14:paraId="73F3318E" w14:textId="77777777" w:rsidR="00FE66C8" w:rsidRPr="004D6F3A" w:rsidRDefault="00731232" w:rsidP="00EB7A07">
      <w:pPr>
        <w:numPr>
          <w:ilvl w:val="0"/>
          <w:numId w:val="2"/>
        </w:numPr>
        <w:tabs>
          <w:tab w:val="clear" w:pos="6570"/>
        </w:tabs>
        <w:ind w:left="1440" w:hanging="720"/>
        <w:jc w:val="both"/>
        <w:rPr>
          <w:b/>
        </w:rPr>
      </w:pPr>
      <w:r w:rsidRPr="004D6F3A">
        <w:rPr>
          <w:b/>
        </w:rPr>
        <w:t>GO/RAN BOND COUNSEL ASSIGNMENT</w:t>
      </w:r>
    </w:p>
    <w:p w14:paraId="53C11BFB" w14:textId="4559A8FE" w:rsidR="00FE66C8" w:rsidRPr="004D6F3A" w:rsidRDefault="00036738" w:rsidP="00F173BC">
      <w:pPr>
        <w:pStyle w:val="BodyTextIndent2"/>
        <w:ind w:left="1440"/>
        <w:jc w:val="both"/>
        <w:rPr>
          <w:rFonts w:ascii="Times New Roman" w:hAnsi="Times New Roman"/>
          <w:szCs w:val="24"/>
        </w:rPr>
      </w:pPr>
      <w:r w:rsidRPr="004D6F3A">
        <w:rPr>
          <w:rFonts w:ascii="Times New Roman" w:hAnsi="Times New Roman"/>
          <w:szCs w:val="24"/>
        </w:rPr>
        <w:t>The selected firm</w:t>
      </w:r>
      <w:r w:rsidR="00714342">
        <w:rPr>
          <w:rFonts w:ascii="Times New Roman" w:hAnsi="Times New Roman"/>
          <w:szCs w:val="24"/>
        </w:rPr>
        <w:t>(</w:t>
      </w:r>
      <w:r w:rsidRPr="004D6F3A">
        <w:rPr>
          <w:rFonts w:ascii="Times New Roman" w:hAnsi="Times New Roman"/>
          <w:szCs w:val="24"/>
        </w:rPr>
        <w:t>s</w:t>
      </w:r>
      <w:r w:rsidR="00714342">
        <w:rPr>
          <w:rFonts w:ascii="Times New Roman" w:hAnsi="Times New Roman"/>
          <w:szCs w:val="24"/>
        </w:rPr>
        <w:t>)</w:t>
      </w:r>
      <w:r w:rsidR="00EB4386" w:rsidRPr="004D6F3A">
        <w:rPr>
          <w:rFonts w:ascii="Times New Roman" w:hAnsi="Times New Roman"/>
          <w:szCs w:val="24"/>
        </w:rPr>
        <w:t xml:space="preserve"> will be expected to provide the full range of legal services required in connection with (a) the successful</w:t>
      </w:r>
      <w:r w:rsidR="00337373">
        <w:rPr>
          <w:rFonts w:ascii="Times New Roman" w:hAnsi="Times New Roman"/>
          <w:szCs w:val="24"/>
        </w:rPr>
        <w:t xml:space="preserve"> sale and</w:t>
      </w:r>
      <w:r w:rsidR="00EB4386" w:rsidRPr="004D6F3A">
        <w:rPr>
          <w:rFonts w:ascii="Times New Roman" w:hAnsi="Times New Roman"/>
          <w:szCs w:val="24"/>
        </w:rPr>
        <w:t xml:space="preserve"> </w:t>
      </w:r>
      <w:r w:rsidR="003F519E">
        <w:rPr>
          <w:rFonts w:ascii="Times New Roman" w:hAnsi="Times New Roman"/>
          <w:szCs w:val="24"/>
        </w:rPr>
        <w:t xml:space="preserve">delivery </w:t>
      </w:r>
      <w:r w:rsidR="00EB4386" w:rsidRPr="004D6F3A">
        <w:rPr>
          <w:rFonts w:ascii="Times New Roman" w:hAnsi="Times New Roman"/>
          <w:szCs w:val="24"/>
        </w:rPr>
        <w:t>of GO</w:t>
      </w:r>
      <w:r w:rsidR="00761AEC" w:rsidRPr="004D6F3A">
        <w:rPr>
          <w:rFonts w:ascii="Times New Roman" w:hAnsi="Times New Roman"/>
          <w:szCs w:val="24"/>
        </w:rPr>
        <w:t xml:space="preserve"> bond</w:t>
      </w:r>
      <w:r w:rsidR="00F8444B" w:rsidRPr="004D6F3A">
        <w:rPr>
          <w:rFonts w:ascii="Times New Roman" w:hAnsi="Times New Roman"/>
          <w:szCs w:val="24"/>
        </w:rPr>
        <w:t>s</w:t>
      </w:r>
      <w:r w:rsidR="00761AEC" w:rsidRPr="004D6F3A">
        <w:rPr>
          <w:rFonts w:ascii="Times New Roman" w:hAnsi="Times New Roman"/>
          <w:szCs w:val="24"/>
        </w:rPr>
        <w:t xml:space="preserve"> and</w:t>
      </w:r>
      <w:r w:rsidR="00EB4386" w:rsidRPr="004D6F3A">
        <w:rPr>
          <w:rFonts w:ascii="Times New Roman" w:hAnsi="Times New Roman"/>
          <w:szCs w:val="24"/>
        </w:rPr>
        <w:t xml:space="preserve"> </w:t>
      </w:r>
      <w:r w:rsidR="007D1F7F" w:rsidRPr="004D6F3A">
        <w:rPr>
          <w:rFonts w:ascii="Times New Roman" w:hAnsi="Times New Roman"/>
          <w:szCs w:val="24"/>
        </w:rPr>
        <w:t>RAN</w:t>
      </w:r>
      <w:r w:rsidR="00FF002C" w:rsidRPr="004D6F3A">
        <w:rPr>
          <w:rFonts w:ascii="Times New Roman" w:hAnsi="Times New Roman"/>
          <w:szCs w:val="24"/>
        </w:rPr>
        <w:t>s</w:t>
      </w:r>
      <w:r w:rsidR="00EB4386" w:rsidRPr="004D6F3A">
        <w:rPr>
          <w:rFonts w:ascii="Times New Roman" w:hAnsi="Times New Roman"/>
          <w:szCs w:val="24"/>
        </w:rPr>
        <w:t>; (b) on-going legal services for the GO</w:t>
      </w:r>
      <w:r w:rsidR="00761AEC" w:rsidRPr="004D6F3A">
        <w:rPr>
          <w:rFonts w:ascii="Times New Roman" w:hAnsi="Times New Roman"/>
          <w:szCs w:val="24"/>
        </w:rPr>
        <w:t xml:space="preserve"> and</w:t>
      </w:r>
      <w:r w:rsidR="00EB4386" w:rsidRPr="004D6F3A">
        <w:rPr>
          <w:rFonts w:ascii="Times New Roman" w:hAnsi="Times New Roman"/>
          <w:szCs w:val="24"/>
        </w:rPr>
        <w:t xml:space="preserve"> </w:t>
      </w:r>
      <w:r w:rsidR="007D1F7F" w:rsidRPr="004D6F3A">
        <w:rPr>
          <w:rFonts w:ascii="Times New Roman" w:hAnsi="Times New Roman"/>
          <w:szCs w:val="24"/>
        </w:rPr>
        <w:t>RAN</w:t>
      </w:r>
      <w:r w:rsidR="00FF002C" w:rsidRPr="004D6F3A">
        <w:rPr>
          <w:rFonts w:ascii="Times New Roman" w:hAnsi="Times New Roman"/>
          <w:szCs w:val="24"/>
        </w:rPr>
        <w:t>s</w:t>
      </w:r>
      <w:r w:rsidR="00EB4386" w:rsidRPr="004D6F3A">
        <w:rPr>
          <w:rFonts w:ascii="Times New Roman" w:hAnsi="Times New Roman"/>
          <w:szCs w:val="24"/>
        </w:rPr>
        <w:t xml:space="preserve"> </w:t>
      </w:r>
      <w:r w:rsidR="00FF002C" w:rsidRPr="004D6F3A">
        <w:rPr>
          <w:rFonts w:ascii="Times New Roman" w:hAnsi="Times New Roman"/>
          <w:szCs w:val="24"/>
        </w:rPr>
        <w:t xml:space="preserve">bond </w:t>
      </w:r>
      <w:r w:rsidR="00EB4386" w:rsidRPr="004D6F3A">
        <w:rPr>
          <w:rFonts w:ascii="Times New Roman" w:hAnsi="Times New Roman"/>
          <w:szCs w:val="24"/>
        </w:rPr>
        <w:t xml:space="preserve">programs; and (c) additional services as mutually agreed between the parties. </w:t>
      </w:r>
      <w:r w:rsidR="00FE66C8" w:rsidRPr="004D6F3A">
        <w:rPr>
          <w:rFonts w:ascii="Times New Roman" w:hAnsi="Times New Roman"/>
          <w:szCs w:val="24"/>
        </w:rPr>
        <w:t xml:space="preserve">The scope of services </w:t>
      </w:r>
      <w:r w:rsidR="00DD3BBD" w:rsidRPr="004D6F3A">
        <w:rPr>
          <w:rFonts w:ascii="Times New Roman" w:hAnsi="Times New Roman"/>
          <w:szCs w:val="24"/>
        </w:rPr>
        <w:t>common to the GO</w:t>
      </w:r>
      <w:r w:rsidR="001E7B9E" w:rsidRPr="004D6F3A">
        <w:rPr>
          <w:rFonts w:ascii="Times New Roman" w:hAnsi="Times New Roman"/>
          <w:szCs w:val="24"/>
        </w:rPr>
        <w:t>/</w:t>
      </w:r>
      <w:r w:rsidR="00DD3BBD" w:rsidRPr="004D6F3A">
        <w:rPr>
          <w:rFonts w:ascii="Times New Roman" w:hAnsi="Times New Roman"/>
          <w:szCs w:val="24"/>
        </w:rPr>
        <w:t xml:space="preserve">RAN </w:t>
      </w:r>
      <w:r w:rsidR="000A44C8" w:rsidRPr="004D6F3A">
        <w:rPr>
          <w:rFonts w:ascii="Times New Roman" w:hAnsi="Times New Roman"/>
          <w:szCs w:val="24"/>
        </w:rPr>
        <w:t xml:space="preserve">Bond Counsel </w:t>
      </w:r>
      <w:r w:rsidR="00DD3BBD" w:rsidRPr="004D6F3A">
        <w:rPr>
          <w:rFonts w:ascii="Times New Roman" w:hAnsi="Times New Roman"/>
          <w:szCs w:val="24"/>
        </w:rPr>
        <w:t>Assignment</w:t>
      </w:r>
      <w:r w:rsidR="00FE66C8" w:rsidRPr="004D6F3A">
        <w:rPr>
          <w:rFonts w:ascii="Times New Roman" w:hAnsi="Times New Roman"/>
          <w:szCs w:val="24"/>
        </w:rPr>
        <w:t xml:space="preserve"> </w:t>
      </w:r>
      <w:r w:rsidR="00EB4386" w:rsidRPr="004D6F3A">
        <w:rPr>
          <w:rFonts w:ascii="Times New Roman" w:hAnsi="Times New Roman"/>
          <w:szCs w:val="24"/>
        </w:rPr>
        <w:t xml:space="preserve">may </w:t>
      </w:r>
      <w:r w:rsidR="00FE66C8" w:rsidRPr="004D6F3A">
        <w:rPr>
          <w:rFonts w:ascii="Times New Roman" w:hAnsi="Times New Roman"/>
          <w:szCs w:val="24"/>
        </w:rPr>
        <w:t>include, but not be limited to, the following:</w:t>
      </w:r>
    </w:p>
    <w:p w14:paraId="325B4EB7" w14:textId="77777777" w:rsidR="00FE66C8" w:rsidRPr="004D6F3A" w:rsidRDefault="00FE66C8" w:rsidP="00C16B56">
      <w:pPr>
        <w:ind w:left="1080"/>
        <w:jc w:val="both"/>
      </w:pPr>
    </w:p>
    <w:p w14:paraId="73E796D9" w14:textId="75C5C6F3" w:rsidR="003130A7" w:rsidRPr="004D6F3A" w:rsidRDefault="00FE66C8" w:rsidP="00F173BC">
      <w:pPr>
        <w:numPr>
          <w:ilvl w:val="1"/>
          <w:numId w:val="2"/>
        </w:numPr>
        <w:tabs>
          <w:tab w:val="clear" w:pos="1800"/>
        </w:tabs>
        <w:ind w:left="2160" w:hanging="720"/>
        <w:jc w:val="both"/>
      </w:pPr>
      <w:r w:rsidRPr="004D6F3A">
        <w:t xml:space="preserve">Rendering </w:t>
      </w:r>
      <w:r w:rsidR="00AC5086" w:rsidRPr="004D6F3A">
        <w:t xml:space="preserve">the </w:t>
      </w:r>
      <w:r w:rsidR="00337373">
        <w:t xml:space="preserve">customary </w:t>
      </w:r>
      <w:r w:rsidR="00AC5086" w:rsidRPr="004D6F3A">
        <w:t>bond counsel</w:t>
      </w:r>
      <w:r w:rsidRPr="004D6F3A">
        <w:t xml:space="preserve"> opinion </w:t>
      </w:r>
      <w:r w:rsidR="00AC5086" w:rsidRPr="004D6F3A">
        <w:t>regarding the validity and binding effect of the bonds</w:t>
      </w:r>
      <w:r w:rsidR="007A7FC1">
        <w:t xml:space="preserve"> and</w:t>
      </w:r>
      <w:r w:rsidR="00AC5086" w:rsidRPr="004D6F3A">
        <w:t xml:space="preserve"> the source of payment and security for the bonds</w:t>
      </w:r>
      <w:r w:rsidR="006013B0" w:rsidRPr="004D6F3A">
        <w:t>;</w:t>
      </w:r>
    </w:p>
    <w:p w14:paraId="1692F0E8" w14:textId="77777777" w:rsidR="003130A7" w:rsidRPr="004D6F3A" w:rsidRDefault="003130A7" w:rsidP="00F173BC">
      <w:pPr>
        <w:ind w:left="2160" w:hanging="720"/>
        <w:jc w:val="both"/>
      </w:pPr>
    </w:p>
    <w:p w14:paraId="1E30A151" w14:textId="1BB4FD6E" w:rsidR="00FE66C8" w:rsidRPr="004D6F3A" w:rsidRDefault="00FE66C8" w:rsidP="00F173BC">
      <w:pPr>
        <w:numPr>
          <w:ilvl w:val="1"/>
          <w:numId w:val="2"/>
        </w:numPr>
        <w:tabs>
          <w:tab w:val="clear" w:pos="1800"/>
        </w:tabs>
        <w:ind w:left="2160" w:hanging="720"/>
        <w:jc w:val="both"/>
      </w:pPr>
      <w:r w:rsidRPr="004D6F3A">
        <w:t>Examining applicable law</w:t>
      </w:r>
      <w:r w:rsidR="00870445" w:rsidRPr="004D6F3A">
        <w:t>,</w:t>
      </w:r>
      <w:r w:rsidRPr="004D6F3A">
        <w:t xml:space="preserve"> preparing authorizing and operative documents</w:t>
      </w:r>
      <w:r w:rsidR="00870445" w:rsidRPr="004D6F3A">
        <w:t>,</w:t>
      </w:r>
      <w:r w:rsidRPr="004D6F3A">
        <w:t xml:space="preserve"> consulting with parties to the transactions</w:t>
      </w:r>
      <w:r w:rsidR="00870445" w:rsidRPr="004D6F3A">
        <w:t>,</w:t>
      </w:r>
      <w:r w:rsidRPr="004D6F3A">
        <w:t xml:space="preserve"> reviewing proceedings</w:t>
      </w:r>
      <w:r w:rsidR="00870445" w:rsidRPr="004D6F3A">
        <w:t>,</w:t>
      </w:r>
      <w:r w:rsidRPr="004D6F3A">
        <w:t xml:space="preserve"> and performing additional duties as necessary to render</w:t>
      </w:r>
      <w:r w:rsidR="00337373">
        <w:t xml:space="preserve"> all required</w:t>
      </w:r>
      <w:r w:rsidRPr="004D6F3A">
        <w:t xml:space="preserve"> opinion</w:t>
      </w:r>
      <w:r w:rsidR="00337373">
        <w:t>s for the financing</w:t>
      </w:r>
      <w:r w:rsidR="006013B0" w:rsidRPr="004D6F3A">
        <w:t>;</w:t>
      </w:r>
    </w:p>
    <w:p w14:paraId="4AA95A45" w14:textId="77777777" w:rsidR="00FE66C8" w:rsidRPr="004D6F3A" w:rsidRDefault="00FE66C8" w:rsidP="00F173BC">
      <w:pPr>
        <w:ind w:left="2160" w:hanging="720"/>
        <w:jc w:val="both"/>
      </w:pPr>
    </w:p>
    <w:p w14:paraId="5DF8EB98" w14:textId="13B6B740" w:rsidR="007A7FC1" w:rsidRDefault="007A7FC1" w:rsidP="00F173BC">
      <w:pPr>
        <w:numPr>
          <w:ilvl w:val="1"/>
          <w:numId w:val="2"/>
        </w:numPr>
        <w:tabs>
          <w:tab w:val="clear" w:pos="1800"/>
        </w:tabs>
        <w:ind w:left="2160" w:hanging="720"/>
        <w:jc w:val="both"/>
      </w:pPr>
      <w:r>
        <w:t>Rendering the bond counsel opinion regarding the excludability of interest on the bonds from gross income for federal income tax purposes and/or California personal income tax purposes</w:t>
      </w:r>
      <w:r w:rsidR="00337373">
        <w:t>, if applicable</w:t>
      </w:r>
      <w:r>
        <w:t>;</w:t>
      </w:r>
    </w:p>
    <w:p w14:paraId="317320F4" w14:textId="77777777" w:rsidR="007A7FC1" w:rsidRDefault="007A7FC1" w:rsidP="007A7FC1">
      <w:pPr>
        <w:pStyle w:val="ListParagraph"/>
      </w:pPr>
    </w:p>
    <w:p w14:paraId="28C3F859" w14:textId="096B20AF" w:rsidR="00FE66C8" w:rsidRPr="004D6F3A" w:rsidRDefault="00FE66C8" w:rsidP="00F173BC">
      <w:pPr>
        <w:numPr>
          <w:ilvl w:val="1"/>
          <w:numId w:val="2"/>
        </w:numPr>
        <w:tabs>
          <w:tab w:val="clear" w:pos="1800"/>
        </w:tabs>
        <w:ind w:left="2160" w:hanging="720"/>
        <w:jc w:val="both"/>
      </w:pPr>
      <w:r w:rsidRPr="004D6F3A">
        <w:t>Advising the STO</w:t>
      </w:r>
      <w:r w:rsidR="00FE3A27" w:rsidRPr="004D6F3A">
        <w:t xml:space="preserve"> </w:t>
      </w:r>
      <w:r w:rsidRPr="004D6F3A">
        <w:t xml:space="preserve">on </w:t>
      </w:r>
      <w:r w:rsidR="00095645" w:rsidRPr="004D6F3A">
        <w:t xml:space="preserve">tax matters related to the issuance of bonds or notes including </w:t>
      </w:r>
      <w:r w:rsidRPr="004D6F3A">
        <w:t xml:space="preserve">any actions necessary to </w:t>
      </w:r>
      <w:r w:rsidR="00915A5D" w:rsidRPr="004D6F3A">
        <w:t>ensure</w:t>
      </w:r>
      <w:r w:rsidRPr="004D6F3A">
        <w:t xml:space="preserve"> that interest paid on debt obligations will continue to be excluded from gross income for federal</w:t>
      </w:r>
      <w:r w:rsidR="00F356F7" w:rsidRPr="004D6F3A">
        <w:t xml:space="preserve"> </w:t>
      </w:r>
      <w:r w:rsidRPr="004D6F3A">
        <w:t>income tax purposes</w:t>
      </w:r>
      <w:r w:rsidR="00714342">
        <w:t>, if applicable;</w:t>
      </w:r>
    </w:p>
    <w:p w14:paraId="011B41A8" w14:textId="77777777" w:rsidR="00FE66C8" w:rsidRPr="004D6F3A" w:rsidRDefault="00FE66C8" w:rsidP="000523A1">
      <w:pPr>
        <w:jc w:val="both"/>
      </w:pPr>
    </w:p>
    <w:p w14:paraId="0DB27CE9" w14:textId="77777777" w:rsidR="00FE66C8" w:rsidRPr="004D6F3A" w:rsidRDefault="00FE66C8" w:rsidP="00F173BC">
      <w:pPr>
        <w:numPr>
          <w:ilvl w:val="1"/>
          <w:numId w:val="2"/>
        </w:numPr>
        <w:tabs>
          <w:tab w:val="clear" w:pos="1800"/>
        </w:tabs>
        <w:ind w:left="2160" w:hanging="720"/>
        <w:jc w:val="both"/>
      </w:pPr>
      <w:r w:rsidRPr="004D6F3A">
        <w:t>Preparing and reviewing legal documentation for the financing, including closing documents and transcripts, tax certificates, specimen bonds, etc.</w:t>
      </w:r>
      <w:r w:rsidR="006013B0" w:rsidRPr="004D6F3A">
        <w:t>;</w:t>
      </w:r>
    </w:p>
    <w:p w14:paraId="196CCE53" w14:textId="6C7A4837" w:rsidR="00FE66C8" w:rsidRPr="004D6F3A" w:rsidRDefault="00707E13" w:rsidP="00F173BC">
      <w:pPr>
        <w:numPr>
          <w:ilvl w:val="1"/>
          <w:numId w:val="2"/>
        </w:numPr>
        <w:tabs>
          <w:tab w:val="clear" w:pos="1800"/>
        </w:tabs>
        <w:ind w:left="2160" w:hanging="720"/>
        <w:jc w:val="both"/>
      </w:pPr>
      <w:r w:rsidRPr="004D6F3A">
        <w:lastRenderedPageBreak/>
        <w:t xml:space="preserve">Assisting the STO in </w:t>
      </w:r>
      <w:r w:rsidR="00095645" w:rsidRPr="004D6F3A">
        <w:t xml:space="preserve">reviewing or </w:t>
      </w:r>
      <w:r w:rsidRPr="004D6F3A">
        <w:t>presenting information to the rating agencies</w:t>
      </w:r>
      <w:r w:rsidR="008C046A" w:rsidRPr="004D6F3A">
        <w:t>,</w:t>
      </w:r>
      <w:r w:rsidRPr="004D6F3A">
        <w:t xml:space="preserve"> credit enhancement providers </w:t>
      </w:r>
      <w:r w:rsidR="008C046A" w:rsidRPr="004D6F3A">
        <w:t xml:space="preserve">or investors </w:t>
      </w:r>
      <w:r w:rsidRPr="004D6F3A">
        <w:t>relating to legal issues affecting the issuance of the bonds</w:t>
      </w:r>
      <w:r w:rsidR="00337373">
        <w:t xml:space="preserve"> or notes</w:t>
      </w:r>
      <w:r w:rsidR="006013B0" w:rsidRPr="004D6F3A">
        <w:t>;</w:t>
      </w:r>
    </w:p>
    <w:p w14:paraId="7E33F9A9" w14:textId="77777777" w:rsidR="000319CA" w:rsidRPr="004D6F3A" w:rsidRDefault="000319CA" w:rsidP="000523A1">
      <w:pPr>
        <w:jc w:val="both"/>
      </w:pPr>
    </w:p>
    <w:p w14:paraId="2AFDD719" w14:textId="0D50DF5D" w:rsidR="000319CA" w:rsidRPr="004D6F3A" w:rsidRDefault="000319CA" w:rsidP="00F173BC">
      <w:pPr>
        <w:numPr>
          <w:ilvl w:val="1"/>
          <w:numId w:val="2"/>
        </w:numPr>
        <w:tabs>
          <w:tab w:val="clear" w:pos="1800"/>
        </w:tabs>
        <w:ind w:left="2160" w:hanging="720"/>
        <w:jc w:val="both"/>
      </w:pPr>
      <w:r w:rsidRPr="004D6F3A">
        <w:t xml:space="preserve">Reviewing </w:t>
      </w:r>
      <w:r w:rsidR="00095645" w:rsidRPr="004D6F3A">
        <w:t xml:space="preserve">Appendix A, </w:t>
      </w:r>
      <w:r w:rsidRPr="004D6F3A">
        <w:t>the notice of sale</w:t>
      </w:r>
      <w:r w:rsidR="00095645" w:rsidRPr="004D6F3A">
        <w:t>,</w:t>
      </w:r>
      <w:r w:rsidRPr="004D6F3A">
        <w:t xml:space="preserve"> bond </w:t>
      </w:r>
      <w:r w:rsidR="00337373">
        <w:t xml:space="preserve">or note </w:t>
      </w:r>
      <w:r w:rsidRPr="004D6F3A">
        <w:t>purchase agreement</w:t>
      </w:r>
      <w:r w:rsidR="00095645" w:rsidRPr="004D6F3A">
        <w:t>,</w:t>
      </w:r>
      <w:r w:rsidRPr="004D6F3A">
        <w:t xml:space="preserve"> </w:t>
      </w:r>
      <w:r w:rsidR="00F41699" w:rsidRPr="004D6F3A">
        <w:t xml:space="preserve">the preliminary and final official statement, and the </w:t>
      </w:r>
      <w:r w:rsidRPr="004D6F3A">
        <w:t>continuing disclosure undertaking of the State</w:t>
      </w:r>
      <w:r w:rsidR="006013B0" w:rsidRPr="004D6F3A">
        <w:t>;</w:t>
      </w:r>
    </w:p>
    <w:p w14:paraId="67319E57" w14:textId="77777777" w:rsidR="006013B0" w:rsidRPr="004D6F3A" w:rsidRDefault="006013B0" w:rsidP="000523A1"/>
    <w:p w14:paraId="75945BA6" w14:textId="3073B95B" w:rsidR="006013B0" w:rsidRPr="004D6F3A" w:rsidRDefault="006013B0" w:rsidP="00F173BC">
      <w:pPr>
        <w:numPr>
          <w:ilvl w:val="1"/>
          <w:numId w:val="2"/>
        </w:numPr>
        <w:tabs>
          <w:tab w:val="clear" w:pos="1800"/>
        </w:tabs>
        <w:ind w:left="2160" w:hanging="720"/>
        <w:jc w:val="both"/>
      </w:pPr>
      <w:r w:rsidRPr="004D6F3A">
        <w:t xml:space="preserve">Reviewing </w:t>
      </w:r>
      <w:r w:rsidR="00F356F7" w:rsidRPr="004D6F3A">
        <w:t xml:space="preserve">and providing advice on any </w:t>
      </w:r>
      <w:r w:rsidRPr="004D6F3A">
        <w:t xml:space="preserve">legal </w:t>
      </w:r>
      <w:r w:rsidR="00337373">
        <w:t xml:space="preserve">or federal tax </w:t>
      </w:r>
      <w:r w:rsidRPr="004D6F3A">
        <w:t xml:space="preserve">issues related to the structure of the bond </w:t>
      </w:r>
      <w:r w:rsidR="00F356F7" w:rsidRPr="004D6F3A">
        <w:t xml:space="preserve">or note </w:t>
      </w:r>
      <w:r w:rsidRPr="004D6F3A">
        <w:t>issue;</w:t>
      </w:r>
    </w:p>
    <w:p w14:paraId="578CECA9" w14:textId="77777777" w:rsidR="00793296" w:rsidRPr="004D6F3A" w:rsidRDefault="00793296" w:rsidP="000523A1">
      <w:pPr>
        <w:jc w:val="both"/>
      </w:pPr>
    </w:p>
    <w:p w14:paraId="545FE4E3" w14:textId="6DD18422" w:rsidR="00793296" w:rsidRPr="004D6F3A" w:rsidRDefault="00337373" w:rsidP="00F173BC">
      <w:pPr>
        <w:numPr>
          <w:ilvl w:val="1"/>
          <w:numId w:val="2"/>
        </w:numPr>
        <w:tabs>
          <w:tab w:val="clear" w:pos="1800"/>
        </w:tabs>
        <w:ind w:left="2160" w:hanging="720"/>
        <w:jc w:val="both"/>
      </w:pPr>
      <w:r>
        <w:t xml:space="preserve">Participating in </w:t>
      </w:r>
      <w:r w:rsidR="00C24DBA" w:rsidRPr="004D6F3A">
        <w:t xml:space="preserve">all document </w:t>
      </w:r>
      <w:r w:rsidR="007A7FC1">
        <w:t xml:space="preserve">review </w:t>
      </w:r>
      <w:r w:rsidR="00C24DBA" w:rsidRPr="004D6F3A">
        <w:t>sessions</w:t>
      </w:r>
      <w:r w:rsidR="006013B0" w:rsidRPr="004D6F3A">
        <w:t>;</w:t>
      </w:r>
    </w:p>
    <w:p w14:paraId="7DDCBBF7" w14:textId="77777777" w:rsidR="00FE66C8" w:rsidRPr="004D6F3A" w:rsidRDefault="00FE66C8" w:rsidP="000523A1">
      <w:pPr>
        <w:jc w:val="both"/>
      </w:pPr>
    </w:p>
    <w:p w14:paraId="1823FB54" w14:textId="77777777" w:rsidR="00FE66C8" w:rsidRPr="004D6F3A" w:rsidRDefault="00FE66C8" w:rsidP="00F173BC">
      <w:pPr>
        <w:numPr>
          <w:ilvl w:val="1"/>
          <w:numId w:val="2"/>
        </w:numPr>
        <w:tabs>
          <w:tab w:val="clear" w:pos="1800"/>
        </w:tabs>
        <w:ind w:left="2160" w:hanging="720"/>
        <w:jc w:val="both"/>
      </w:pPr>
      <w:r w:rsidRPr="004D6F3A">
        <w:t>Drafting and analyzing legislation and appear</w:t>
      </w:r>
      <w:r w:rsidR="00036738" w:rsidRPr="004D6F3A">
        <w:t>ing before L</w:t>
      </w:r>
      <w:r w:rsidRPr="004D6F3A">
        <w:t>egislative committees</w:t>
      </w:r>
      <w:r w:rsidR="00036738" w:rsidRPr="004D6F3A">
        <w:t>, as requested,</w:t>
      </w:r>
      <w:r w:rsidRPr="004D6F3A">
        <w:t xml:space="preserve"> on issues related to the sale </w:t>
      </w:r>
      <w:r w:rsidR="00A10AE2" w:rsidRPr="004D6F3A">
        <w:t xml:space="preserve">or administration </w:t>
      </w:r>
      <w:r w:rsidRPr="004D6F3A">
        <w:t xml:space="preserve">of </w:t>
      </w:r>
      <w:r w:rsidR="00F356F7" w:rsidRPr="004D6F3A">
        <w:t>State general fund supported bonds</w:t>
      </w:r>
      <w:r w:rsidR="006013B0" w:rsidRPr="004D6F3A">
        <w:t>;</w:t>
      </w:r>
    </w:p>
    <w:p w14:paraId="376D7E16" w14:textId="77777777" w:rsidR="00FE66C8" w:rsidRPr="004D6F3A" w:rsidRDefault="00FE66C8" w:rsidP="000523A1">
      <w:pPr>
        <w:jc w:val="both"/>
      </w:pPr>
    </w:p>
    <w:p w14:paraId="7E8AF126" w14:textId="51CAFE71" w:rsidR="00FE66C8" w:rsidRPr="004D6F3A" w:rsidRDefault="00337373" w:rsidP="00F173BC">
      <w:pPr>
        <w:numPr>
          <w:ilvl w:val="1"/>
          <w:numId w:val="2"/>
        </w:numPr>
        <w:tabs>
          <w:tab w:val="clear" w:pos="1800"/>
        </w:tabs>
        <w:ind w:left="2160" w:hanging="720"/>
        <w:jc w:val="both"/>
      </w:pPr>
      <w:r>
        <w:t xml:space="preserve">Providing </w:t>
      </w:r>
      <w:r w:rsidR="00FE66C8" w:rsidRPr="004D6F3A">
        <w:t>legal advice</w:t>
      </w:r>
      <w:r>
        <w:t xml:space="preserve"> or legal opinions</w:t>
      </w:r>
      <w:r w:rsidR="00FE66C8" w:rsidRPr="004D6F3A">
        <w:t xml:space="preserve">, as </w:t>
      </w:r>
      <w:r>
        <w:t>requested</w:t>
      </w:r>
      <w:r w:rsidR="00FE66C8" w:rsidRPr="004D6F3A">
        <w:t>, on</w:t>
      </w:r>
      <w:r>
        <w:t xml:space="preserve"> any</w:t>
      </w:r>
      <w:r w:rsidR="00FE66C8" w:rsidRPr="004D6F3A">
        <w:t xml:space="preserve"> issues related to the </w:t>
      </w:r>
      <w:r w:rsidR="00F41699" w:rsidRPr="004D6F3A">
        <w:t>issuance</w:t>
      </w:r>
      <w:r w:rsidR="00FE66C8" w:rsidRPr="004D6F3A">
        <w:t xml:space="preserve"> </w:t>
      </w:r>
      <w:r w:rsidR="00F41699" w:rsidRPr="004D6F3A">
        <w:t xml:space="preserve">and administration </w:t>
      </w:r>
      <w:r w:rsidR="00F356F7" w:rsidRPr="004D6F3A">
        <w:t xml:space="preserve">of State general fund supported bonds or </w:t>
      </w:r>
      <w:r w:rsidR="00BA544F" w:rsidRPr="004D6F3A">
        <w:t>obligations</w:t>
      </w:r>
      <w:r w:rsidR="006013B0" w:rsidRPr="004D6F3A">
        <w:t>;</w:t>
      </w:r>
    </w:p>
    <w:p w14:paraId="335232DF" w14:textId="77777777" w:rsidR="00FE66C8" w:rsidRPr="004D6F3A" w:rsidRDefault="00FE66C8" w:rsidP="000523A1">
      <w:pPr>
        <w:jc w:val="both"/>
      </w:pPr>
    </w:p>
    <w:p w14:paraId="7376566C" w14:textId="16785BF3" w:rsidR="00E6027A" w:rsidRPr="004D6F3A" w:rsidRDefault="00E6027A" w:rsidP="00F173BC">
      <w:pPr>
        <w:numPr>
          <w:ilvl w:val="1"/>
          <w:numId w:val="2"/>
        </w:numPr>
        <w:tabs>
          <w:tab w:val="clear" w:pos="1800"/>
        </w:tabs>
        <w:ind w:left="2160" w:hanging="720"/>
        <w:jc w:val="both"/>
      </w:pPr>
      <w:r w:rsidRPr="004D6F3A">
        <w:t>Providing</w:t>
      </w:r>
      <w:r w:rsidR="00714342">
        <w:t xml:space="preserve"> a </w:t>
      </w:r>
      <w:r w:rsidRPr="004D6F3A">
        <w:t xml:space="preserve">“10b-5” </w:t>
      </w:r>
      <w:r w:rsidR="00714342">
        <w:t>letter</w:t>
      </w:r>
      <w:r w:rsidR="00714342" w:rsidRPr="004D6F3A">
        <w:t xml:space="preserve"> </w:t>
      </w:r>
      <w:r w:rsidRPr="004D6F3A">
        <w:t xml:space="preserve">on the </w:t>
      </w:r>
      <w:r w:rsidR="00F356F7" w:rsidRPr="004D6F3A">
        <w:t xml:space="preserve">preliminary official statement and </w:t>
      </w:r>
      <w:r w:rsidRPr="004D6F3A">
        <w:t xml:space="preserve">official </w:t>
      </w:r>
      <w:r w:rsidR="00BA544F" w:rsidRPr="004D6F3A">
        <w:t>statement</w:t>
      </w:r>
      <w:r w:rsidR="00D820EC" w:rsidRPr="004D6F3A">
        <w:t>;</w:t>
      </w:r>
    </w:p>
    <w:p w14:paraId="1DDE5D08" w14:textId="77777777" w:rsidR="00E6027A" w:rsidRPr="004D6F3A" w:rsidRDefault="00E6027A" w:rsidP="00F173BC">
      <w:pPr>
        <w:pStyle w:val="ListParagraph"/>
        <w:ind w:left="2160" w:hanging="720"/>
      </w:pPr>
    </w:p>
    <w:p w14:paraId="76A3AFAE" w14:textId="4E78D97E" w:rsidR="00FE66C8" w:rsidRPr="004D6F3A" w:rsidRDefault="00FE66C8" w:rsidP="00F173BC">
      <w:pPr>
        <w:numPr>
          <w:ilvl w:val="1"/>
          <w:numId w:val="2"/>
        </w:numPr>
        <w:tabs>
          <w:tab w:val="clear" w:pos="1800"/>
        </w:tabs>
        <w:ind w:left="2160" w:hanging="720"/>
        <w:jc w:val="both"/>
      </w:pPr>
      <w:r w:rsidRPr="004D6F3A">
        <w:t xml:space="preserve">Providing </w:t>
      </w:r>
      <w:r w:rsidR="00BA544F">
        <w:t xml:space="preserve">legal advice and rendering </w:t>
      </w:r>
      <w:r w:rsidRPr="004D6F3A">
        <w:t>legal opinions</w:t>
      </w:r>
      <w:r w:rsidR="00A11CFA" w:rsidRPr="004D6F3A">
        <w:t xml:space="preserve"> </w:t>
      </w:r>
      <w:r w:rsidR="00BA544F">
        <w:t xml:space="preserve">in connection with letter of credit extensions and substitutions related to the State’s variable rate and CP programs </w:t>
      </w:r>
      <w:r w:rsidR="00A11CFA" w:rsidRPr="004D6F3A">
        <w:t>as requested</w:t>
      </w:r>
      <w:r w:rsidR="006013B0" w:rsidRPr="004D6F3A">
        <w:t>;</w:t>
      </w:r>
    </w:p>
    <w:p w14:paraId="009793C3" w14:textId="77777777" w:rsidR="00F30026" w:rsidRPr="004D6F3A" w:rsidRDefault="00F30026" w:rsidP="00F173BC">
      <w:pPr>
        <w:pStyle w:val="ListParagraph"/>
        <w:ind w:left="2160" w:hanging="720"/>
      </w:pPr>
    </w:p>
    <w:p w14:paraId="520C4288" w14:textId="77777777" w:rsidR="00A33C9D" w:rsidRPr="004D6F3A" w:rsidRDefault="00F30026" w:rsidP="004D6F3A">
      <w:pPr>
        <w:numPr>
          <w:ilvl w:val="1"/>
          <w:numId w:val="2"/>
        </w:numPr>
        <w:tabs>
          <w:tab w:val="clear" w:pos="1800"/>
        </w:tabs>
        <w:ind w:left="2160" w:hanging="720"/>
        <w:jc w:val="both"/>
      </w:pPr>
      <w:r w:rsidRPr="004D6F3A">
        <w:t>Keeping the STO</w:t>
      </w:r>
      <w:r w:rsidR="00FE3A27" w:rsidRPr="004D6F3A">
        <w:t xml:space="preserve"> </w:t>
      </w:r>
      <w:r w:rsidRPr="004D6F3A">
        <w:t xml:space="preserve">informed of </w:t>
      </w:r>
      <w:r w:rsidR="00DC6133" w:rsidRPr="004D6F3A">
        <w:t xml:space="preserve">applicable </w:t>
      </w:r>
      <w:r w:rsidRPr="004D6F3A">
        <w:t>rulings issued by regulatory agencies such as the U.S. Securities</w:t>
      </w:r>
      <w:r w:rsidR="00B7279C" w:rsidRPr="004D6F3A">
        <w:t xml:space="preserve"> and </w:t>
      </w:r>
      <w:r w:rsidRPr="004D6F3A">
        <w:t>Exchange Commission, Municipal Securities Rulemaking Board</w:t>
      </w:r>
      <w:r w:rsidR="006A0AF5">
        <w:t>,</w:t>
      </w:r>
      <w:r w:rsidRPr="004D6F3A">
        <w:t xml:space="preserve"> and the Internal Revenue Service that impact the State’s </w:t>
      </w:r>
      <w:r w:rsidR="008616D7" w:rsidRPr="004D6F3A">
        <w:t xml:space="preserve">general fund supported </w:t>
      </w:r>
      <w:r w:rsidR="00F356F7" w:rsidRPr="004D6F3A">
        <w:t>bond p</w:t>
      </w:r>
      <w:r w:rsidRPr="004D6F3A">
        <w:t>rograms</w:t>
      </w:r>
      <w:r w:rsidR="006013B0" w:rsidRPr="004D6F3A">
        <w:t>;</w:t>
      </w:r>
      <w:r w:rsidR="00327E2E" w:rsidRPr="004D6F3A">
        <w:t xml:space="preserve"> </w:t>
      </w:r>
    </w:p>
    <w:p w14:paraId="3B613912" w14:textId="77777777" w:rsidR="009B02F8" w:rsidRPr="004D6F3A" w:rsidRDefault="009B02F8" w:rsidP="00A60B81">
      <w:pPr>
        <w:ind w:left="2160"/>
        <w:jc w:val="both"/>
      </w:pPr>
    </w:p>
    <w:p w14:paraId="1BD7286E" w14:textId="77777777" w:rsidR="00FE7D24" w:rsidRPr="004D6F3A" w:rsidRDefault="00FE7D24" w:rsidP="00F173BC">
      <w:pPr>
        <w:numPr>
          <w:ilvl w:val="1"/>
          <w:numId w:val="2"/>
        </w:numPr>
        <w:tabs>
          <w:tab w:val="clear" w:pos="1800"/>
        </w:tabs>
        <w:ind w:left="2160" w:hanging="720"/>
        <w:jc w:val="both"/>
      </w:pPr>
      <w:r w:rsidRPr="004D6F3A">
        <w:t>All other matters</w:t>
      </w:r>
      <w:r w:rsidR="00F41699" w:rsidRPr="004D6F3A">
        <w:t>, including training and the development of procedures,</w:t>
      </w:r>
      <w:r w:rsidRPr="004D6F3A">
        <w:t xml:space="preserve"> necessary or incidental to the issuance and ong</w:t>
      </w:r>
      <w:r w:rsidR="00F41699" w:rsidRPr="004D6F3A">
        <w:t>oing administration of</w:t>
      </w:r>
      <w:r w:rsidR="00F356F7" w:rsidRPr="004D6F3A">
        <w:t xml:space="preserve"> the State’s </w:t>
      </w:r>
      <w:r w:rsidR="008616D7" w:rsidRPr="004D6F3A">
        <w:t xml:space="preserve">general fund supported </w:t>
      </w:r>
      <w:r w:rsidR="00F356F7" w:rsidRPr="004D6F3A">
        <w:t>bond</w:t>
      </w:r>
      <w:r w:rsidR="001E7B9E" w:rsidRPr="004D6F3A">
        <w:t xml:space="preserve"> </w:t>
      </w:r>
      <w:r w:rsidR="00F41699" w:rsidRPr="004D6F3A">
        <w:t>programs</w:t>
      </w:r>
      <w:r w:rsidR="000075D5" w:rsidRPr="004D6F3A">
        <w:t>; and</w:t>
      </w:r>
    </w:p>
    <w:p w14:paraId="2836C2FA" w14:textId="77777777" w:rsidR="000075D5" w:rsidRPr="004D6F3A" w:rsidRDefault="000075D5" w:rsidP="00A60B81">
      <w:pPr>
        <w:pStyle w:val="ListParagraph"/>
      </w:pPr>
    </w:p>
    <w:p w14:paraId="57E2C171" w14:textId="77777777" w:rsidR="000075D5" w:rsidRPr="004D6F3A" w:rsidRDefault="000075D5" w:rsidP="00F173BC">
      <w:pPr>
        <w:numPr>
          <w:ilvl w:val="1"/>
          <w:numId w:val="2"/>
        </w:numPr>
        <w:tabs>
          <w:tab w:val="clear" w:pos="1800"/>
        </w:tabs>
        <w:ind w:left="2160" w:hanging="720"/>
        <w:jc w:val="both"/>
      </w:pPr>
      <w:r w:rsidRPr="004D6F3A">
        <w:t>Perform additional services as needed from time to time, including but not limited to, special projects upon STO request.</w:t>
      </w:r>
    </w:p>
    <w:p w14:paraId="3123F6FA" w14:textId="77777777" w:rsidR="0093608B" w:rsidRPr="004D6F3A" w:rsidRDefault="0093608B">
      <w:pPr>
        <w:pStyle w:val="ListParagraph"/>
        <w:ind w:left="1440"/>
      </w:pPr>
    </w:p>
    <w:p w14:paraId="4BC69003" w14:textId="307979F8" w:rsidR="00731232" w:rsidRDefault="00731232" w:rsidP="00302B35">
      <w:pPr>
        <w:numPr>
          <w:ilvl w:val="1"/>
          <w:numId w:val="2"/>
        </w:numPr>
        <w:tabs>
          <w:tab w:val="clear" w:pos="1800"/>
        </w:tabs>
        <w:ind w:left="2160" w:hanging="720"/>
      </w:pPr>
      <w:r w:rsidRPr="004D6F3A">
        <w:t xml:space="preserve">The following </w:t>
      </w:r>
      <w:r w:rsidR="00BA544F">
        <w:t xml:space="preserve">scope of </w:t>
      </w:r>
      <w:r w:rsidRPr="004D6F3A">
        <w:t>services are unique to the GO Program:</w:t>
      </w:r>
    </w:p>
    <w:p w14:paraId="6D10AB5A" w14:textId="77777777" w:rsidR="00976AE6" w:rsidRDefault="00976AE6" w:rsidP="00976AE6">
      <w:pPr>
        <w:pStyle w:val="ListParagraph"/>
      </w:pPr>
    </w:p>
    <w:p w14:paraId="7C4FB374" w14:textId="2B0C9197" w:rsidR="00976AE6" w:rsidRDefault="00976AE6" w:rsidP="00976AE6">
      <w:pPr>
        <w:numPr>
          <w:ilvl w:val="1"/>
          <w:numId w:val="52"/>
        </w:numPr>
        <w:ind w:left="2880" w:hanging="720"/>
        <w:jc w:val="both"/>
      </w:pPr>
      <w:r w:rsidRPr="00714342">
        <w:t>Preparing Resolutions for GO Finance Committee meetings.  The Resolutions provide authorization for the issuance of new money bonds</w:t>
      </w:r>
      <w:r w:rsidRPr="004D6F3A">
        <w:t xml:space="preserve"> and CP Notes and refunding bonds for a particular bond act, as well as establishing certain terms and provisions of the bonds or </w:t>
      </w:r>
      <w:r w:rsidRPr="004D6F3A">
        <w:lastRenderedPageBreak/>
        <w:t xml:space="preserve">CP Notes.  </w:t>
      </w:r>
      <w:r w:rsidRPr="000523A1">
        <w:t>Since</w:t>
      </w:r>
      <w:r w:rsidRPr="00AF46EE">
        <w:t xml:space="preserve"> January 1, 2019, bond counsel has prepared </w:t>
      </w:r>
      <w:r w:rsidRPr="000523A1">
        <w:t>77</w:t>
      </w:r>
      <w:r w:rsidRPr="00AF46EE">
        <w:t xml:space="preserve"> Resolutions for </w:t>
      </w:r>
      <w:r w:rsidRPr="000523A1">
        <w:t>39</w:t>
      </w:r>
      <w:r w:rsidRPr="00AF46EE">
        <w:t xml:space="preserve"> Finance Committee meetings </w:t>
      </w:r>
      <w:r>
        <w:t xml:space="preserve">involving </w:t>
      </w:r>
      <w:r w:rsidRPr="00AF46EE">
        <w:t>1</w:t>
      </w:r>
      <w:r w:rsidRPr="000523A1">
        <w:t>7</w:t>
      </w:r>
      <w:r w:rsidRPr="00AF46EE">
        <w:t xml:space="preserve"> different bond acts;</w:t>
      </w:r>
    </w:p>
    <w:p w14:paraId="612B4B1B" w14:textId="77777777" w:rsidR="00976AE6" w:rsidRDefault="00976AE6" w:rsidP="00976AE6">
      <w:pPr>
        <w:ind w:left="2880"/>
        <w:jc w:val="both"/>
      </w:pPr>
    </w:p>
    <w:p w14:paraId="6E5F1336" w14:textId="165EA9C4" w:rsidR="00976AE6" w:rsidRDefault="00976AE6" w:rsidP="00976AE6">
      <w:pPr>
        <w:numPr>
          <w:ilvl w:val="1"/>
          <w:numId w:val="52"/>
        </w:numPr>
        <w:ind w:left="2880" w:hanging="720"/>
        <w:jc w:val="both"/>
      </w:pPr>
      <w:r w:rsidRPr="004D6F3A">
        <w:t>Preparing Tax Compliance Certificates and Refunding Tax Compliance Certificates for departments utilizing bond or CP Note proceeds.  This includes</w:t>
      </w:r>
      <w:r>
        <w:t xml:space="preserve"> the</w:t>
      </w:r>
      <w:r w:rsidRPr="004D6F3A">
        <w:t xml:space="preserve"> review</w:t>
      </w:r>
      <w:r>
        <w:t xml:space="preserve"> of</w:t>
      </w:r>
      <w:r w:rsidRPr="004D6F3A">
        <w:t xml:space="preserve"> each project</w:t>
      </w:r>
      <w:r>
        <w:t xml:space="preserve"> proposed</w:t>
      </w:r>
      <w:r w:rsidRPr="004D6F3A">
        <w:t xml:space="preserve"> to be financed with bonds or CP Notes to determine the proper classification for tax purposes.  The types of </w:t>
      </w:r>
      <w:r w:rsidRPr="00714342">
        <w:t>projects reviewed may include grants, State-owned</w:t>
      </w:r>
      <w:r>
        <w:t xml:space="preserve"> or State-related</w:t>
      </w:r>
      <w:r w:rsidRPr="00714342">
        <w:t xml:space="preserve"> capital project</w:t>
      </w:r>
      <w:r>
        <w:t>s</w:t>
      </w:r>
      <w:r w:rsidRPr="00714342">
        <w:t xml:space="preserve">, working capital projects, loans, and projects with private activity use.  </w:t>
      </w:r>
      <w:r>
        <w:t>Since</w:t>
      </w:r>
      <w:r w:rsidRPr="00714342">
        <w:t xml:space="preserve"> </w:t>
      </w:r>
      <w:r w:rsidRPr="00AF46EE">
        <w:t xml:space="preserve">January 1, 2019, bond counsel has prepared over </w:t>
      </w:r>
      <w:r w:rsidRPr="000523A1">
        <w:t xml:space="preserve">560 </w:t>
      </w:r>
      <w:r w:rsidRPr="00AF46EE">
        <w:t>Tax Compliance and Refunding Tax Compliance Certificates</w:t>
      </w:r>
      <w:r>
        <w:t xml:space="preserve"> involving </w:t>
      </w:r>
      <w:r w:rsidRPr="00AF46EE">
        <w:t xml:space="preserve">over </w:t>
      </w:r>
      <w:r w:rsidRPr="000523A1">
        <w:t>14,800</w:t>
      </w:r>
      <w:r w:rsidRPr="00AF46EE">
        <w:t xml:space="preserve"> projects.</w:t>
      </w:r>
      <w:r>
        <w:t xml:space="preserve"> Over 40 different departments in the State administer bond and CP Note proceeds</w:t>
      </w:r>
      <w:r w:rsidR="00811483">
        <w:t>;</w:t>
      </w:r>
    </w:p>
    <w:p w14:paraId="555FD48F" w14:textId="77777777" w:rsidR="00976AE6" w:rsidRDefault="00976AE6" w:rsidP="000523A1">
      <w:pPr>
        <w:jc w:val="both"/>
      </w:pPr>
    </w:p>
    <w:p w14:paraId="678F2AE9" w14:textId="20E4A460" w:rsidR="00976AE6" w:rsidRDefault="00976AE6" w:rsidP="00976AE6">
      <w:pPr>
        <w:numPr>
          <w:ilvl w:val="1"/>
          <w:numId w:val="52"/>
        </w:numPr>
        <w:ind w:left="2880" w:hanging="720"/>
        <w:jc w:val="both"/>
      </w:pPr>
      <w:r w:rsidRPr="00714342">
        <w:t>Provid</w:t>
      </w:r>
      <w:r>
        <w:t xml:space="preserve">e </w:t>
      </w:r>
      <w:r w:rsidRPr="00714342">
        <w:t>on-going advice and training to both the STO</w:t>
      </w:r>
      <w:r w:rsidRPr="004D6F3A">
        <w:t xml:space="preserve"> and State departments regarding tax related matters on GO bond financed projects such as private use matters, working capital allocations, returned bond monies, and ongoing tax compliance. With </w:t>
      </w:r>
      <w:r>
        <w:t xml:space="preserve">the volume of projects and agencies </w:t>
      </w:r>
      <w:r w:rsidRPr="004D6F3A">
        <w:t xml:space="preserve">that administer bond </w:t>
      </w:r>
      <w:r>
        <w:t>funds</w:t>
      </w:r>
      <w:r w:rsidRPr="004D6F3A">
        <w:t xml:space="preserve">, this is an integral on-going function and will require a significant </w:t>
      </w:r>
      <w:r>
        <w:t xml:space="preserve">devotion </w:t>
      </w:r>
      <w:r w:rsidRPr="004D6F3A">
        <w:t xml:space="preserve">of time and resources; </w:t>
      </w:r>
    </w:p>
    <w:p w14:paraId="6F783EEC" w14:textId="77777777" w:rsidR="00976AE6" w:rsidRDefault="00976AE6" w:rsidP="00976AE6">
      <w:pPr>
        <w:ind w:left="2880"/>
        <w:jc w:val="both"/>
      </w:pPr>
    </w:p>
    <w:p w14:paraId="37CB6CED" w14:textId="4B243C22" w:rsidR="00976AE6" w:rsidRDefault="00976AE6" w:rsidP="00976AE6">
      <w:pPr>
        <w:numPr>
          <w:ilvl w:val="1"/>
          <w:numId w:val="52"/>
        </w:numPr>
        <w:ind w:left="2880" w:hanging="720"/>
        <w:jc w:val="both"/>
      </w:pPr>
      <w:r>
        <w:t>In collaboration with the STO, provide Tax Training for the General Obligation Bond Program for departments who administer tax exempt bond proceeds</w:t>
      </w:r>
      <w:r w:rsidR="00811483">
        <w:t>;</w:t>
      </w:r>
    </w:p>
    <w:p w14:paraId="0ADE6336" w14:textId="77777777" w:rsidR="00976AE6" w:rsidRPr="004D6F3A" w:rsidRDefault="00976AE6" w:rsidP="00976AE6">
      <w:pPr>
        <w:ind w:left="2880"/>
        <w:jc w:val="both"/>
      </w:pPr>
    </w:p>
    <w:p w14:paraId="48F6A5FF" w14:textId="65DFCE9D" w:rsidR="00976AE6" w:rsidRDefault="00976AE6" w:rsidP="00976AE6">
      <w:pPr>
        <w:numPr>
          <w:ilvl w:val="1"/>
          <w:numId w:val="52"/>
        </w:numPr>
        <w:ind w:left="2880" w:hanging="720"/>
        <w:jc w:val="both"/>
      </w:pPr>
      <w:r w:rsidRPr="004D6F3A">
        <w:t>Participating in negotiations with credit providers, remarketing agents, broker-dealers, tender agents, etc. for GO variable rate demand bonds and CP Notes; and</w:t>
      </w:r>
    </w:p>
    <w:p w14:paraId="56063C7E" w14:textId="77777777" w:rsidR="00976AE6" w:rsidRPr="004D6F3A" w:rsidRDefault="00976AE6" w:rsidP="00976AE6">
      <w:pPr>
        <w:ind w:left="2880"/>
        <w:jc w:val="both"/>
      </w:pPr>
    </w:p>
    <w:p w14:paraId="717E358D" w14:textId="69E92BC0" w:rsidR="00976AE6" w:rsidRPr="00AF46EE" w:rsidRDefault="00976AE6" w:rsidP="00976AE6">
      <w:pPr>
        <w:numPr>
          <w:ilvl w:val="1"/>
          <w:numId w:val="52"/>
        </w:numPr>
        <w:ind w:left="2880" w:hanging="720"/>
        <w:jc w:val="both"/>
      </w:pPr>
      <w:r w:rsidRPr="004D6F3A">
        <w:t>Providing ongoing guidance on the State’s long-term working capital financings, including an annual calculation and opinion regarding the State’s other replacement proceeds.</w:t>
      </w:r>
    </w:p>
    <w:p w14:paraId="3F48FD94" w14:textId="77777777" w:rsidR="00976AE6" w:rsidRPr="004D6F3A" w:rsidRDefault="00976AE6" w:rsidP="00976AE6">
      <w:pPr>
        <w:ind w:left="2880"/>
        <w:jc w:val="both"/>
      </w:pPr>
    </w:p>
    <w:p w14:paraId="155FD1B3" w14:textId="77777777" w:rsidR="0093608B" w:rsidRPr="004D6F3A" w:rsidRDefault="00874D8E" w:rsidP="00302B35">
      <w:pPr>
        <w:pStyle w:val="ListParagraph"/>
        <w:numPr>
          <w:ilvl w:val="1"/>
          <w:numId w:val="2"/>
        </w:numPr>
        <w:tabs>
          <w:tab w:val="clear" w:pos="1800"/>
        </w:tabs>
        <w:ind w:left="2160" w:hanging="720"/>
      </w:pPr>
      <w:r w:rsidRPr="004D6F3A">
        <w:t>The following services are unique to the RAN</w:t>
      </w:r>
      <w:r w:rsidR="00FF002C" w:rsidRPr="004D6F3A">
        <w:t>s</w:t>
      </w:r>
      <w:r w:rsidRPr="004D6F3A">
        <w:t xml:space="preserve"> program:</w:t>
      </w:r>
    </w:p>
    <w:p w14:paraId="17FC7C6C" w14:textId="77777777" w:rsidR="0093608B" w:rsidRPr="004D6F3A" w:rsidRDefault="0093608B">
      <w:pPr>
        <w:pStyle w:val="ListParagraph"/>
        <w:ind w:left="1080"/>
      </w:pPr>
    </w:p>
    <w:p w14:paraId="4C3DFE25" w14:textId="7E82CB04" w:rsidR="00874D8E" w:rsidRPr="004D6F3A" w:rsidRDefault="003B7885" w:rsidP="00976AE6">
      <w:pPr>
        <w:numPr>
          <w:ilvl w:val="0"/>
          <w:numId w:val="73"/>
        </w:numPr>
        <w:ind w:left="2880" w:hanging="720"/>
        <w:jc w:val="both"/>
      </w:pPr>
      <w:r w:rsidRPr="004D6F3A">
        <w:t xml:space="preserve">Preparing </w:t>
      </w:r>
      <w:r w:rsidR="006D6F58">
        <w:t>r</w:t>
      </w:r>
      <w:r w:rsidRPr="004D6F3A">
        <w:t>esolutions authorizing the issuance and sale of RANs</w:t>
      </w:r>
      <w:r w:rsidR="00E14821" w:rsidRPr="004D6F3A">
        <w:t>; and</w:t>
      </w:r>
    </w:p>
    <w:p w14:paraId="014BB327" w14:textId="77777777" w:rsidR="00BA7A78" w:rsidRPr="004D6F3A" w:rsidRDefault="00BA7A78" w:rsidP="00731232">
      <w:pPr>
        <w:ind w:left="2880" w:hanging="720"/>
        <w:jc w:val="both"/>
      </w:pPr>
    </w:p>
    <w:p w14:paraId="50248D40" w14:textId="77777777" w:rsidR="00AB4604" w:rsidRPr="004D6F3A" w:rsidRDefault="00AB4604" w:rsidP="00976AE6">
      <w:pPr>
        <w:numPr>
          <w:ilvl w:val="0"/>
          <w:numId w:val="73"/>
        </w:numPr>
        <w:ind w:left="2880" w:hanging="720"/>
        <w:jc w:val="both"/>
      </w:pPr>
      <w:r w:rsidRPr="004D6F3A">
        <w:t>Reviewing the State’s cash flows and providing a working capital analysis</w:t>
      </w:r>
      <w:r w:rsidR="00721DB8" w:rsidRPr="004D6F3A">
        <w:t xml:space="preserve"> for each issuance of RANs.</w:t>
      </w:r>
    </w:p>
    <w:p w14:paraId="254B9EEE" w14:textId="77777777" w:rsidR="0093608B" w:rsidRPr="004D6F3A" w:rsidRDefault="0093608B">
      <w:pPr>
        <w:ind w:left="1440"/>
        <w:jc w:val="both"/>
      </w:pPr>
    </w:p>
    <w:p w14:paraId="611CC4C2" w14:textId="7AB357FA" w:rsidR="00A86AE2" w:rsidRPr="004D6F3A" w:rsidRDefault="00731232" w:rsidP="00F173BC">
      <w:pPr>
        <w:pStyle w:val="Heading5"/>
        <w:tabs>
          <w:tab w:val="clear" w:pos="6570"/>
        </w:tabs>
        <w:ind w:left="1440" w:hanging="720"/>
        <w:jc w:val="both"/>
        <w:rPr>
          <w:rFonts w:ascii="Times New Roman" w:hAnsi="Times New Roman"/>
        </w:rPr>
      </w:pPr>
      <w:r w:rsidRPr="004D6F3A">
        <w:rPr>
          <w:rFonts w:ascii="Times New Roman" w:hAnsi="Times New Roman"/>
        </w:rPr>
        <w:lastRenderedPageBreak/>
        <w:t>GO DISCLOSURE COUNSEL ASSIGNMENT</w:t>
      </w:r>
    </w:p>
    <w:p w14:paraId="27B53E70" w14:textId="4D431804" w:rsidR="00A86AE2" w:rsidRPr="004D6F3A" w:rsidRDefault="00A86AE2" w:rsidP="00F173BC">
      <w:pPr>
        <w:ind w:left="1440"/>
        <w:jc w:val="both"/>
      </w:pPr>
      <w:r w:rsidRPr="004D6F3A">
        <w:t xml:space="preserve">The scope of services for the GO Disclosure Counsel </w:t>
      </w:r>
      <w:r w:rsidR="005D13BA">
        <w:t>A</w:t>
      </w:r>
      <w:r w:rsidRPr="004D6F3A">
        <w:t>ssignment will include, but will not be limited to, the following:</w:t>
      </w:r>
    </w:p>
    <w:p w14:paraId="6F29211B" w14:textId="77777777" w:rsidR="00A86AE2" w:rsidRPr="004D6F3A" w:rsidRDefault="00A86AE2" w:rsidP="000B675E">
      <w:pPr>
        <w:ind w:left="1440" w:hanging="360"/>
        <w:jc w:val="both"/>
      </w:pPr>
    </w:p>
    <w:p w14:paraId="17E80185" w14:textId="77777777" w:rsidR="00A86AE2" w:rsidRPr="004D6F3A" w:rsidRDefault="00F04F12" w:rsidP="00EB7A07">
      <w:pPr>
        <w:pStyle w:val="ListParagraph"/>
        <w:numPr>
          <w:ilvl w:val="0"/>
          <w:numId w:val="46"/>
        </w:numPr>
        <w:ind w:left="2160" w:hanging="720"/>
        <w:jc w:val="both"/>
      </w:pPr>
      <w:r w:rsidRPr="004D6F3A">
        <w:t>Preparing</w:t>
      </w:r>
      <w:r w:rsidR="00A86AE2" w:rsidRPr="004D6F3A">
        <w:t xml:space="preserve"> the preliminary and final official statements</w:t>
      </w:r>
      <w:r w:rsidR="00E441E5" w:rsidRPr="004D6F3A">
        <w:t xml:space="preserve"> (excluding the State’s Appendix A)</w:t>
      </w:r>
      <w:r w:rsidRPr="004D6F3A">
        <w:t>, including any supplements thereto</w:t>
      </w:r>
      <w:r w:rsidR="00A86AE2" w:rsidRPr="004D6F3A">
        <w:t>;</w:t>
      </w:r>
    </w:p>
    <w:p w14:paraId="3A8F16C5" w14:textId="77777777" w:rsidR="00A86AE2" w:rsidRPr="004D6F3A" w:rsidRDefault="00A86AE2" w:rsidP="00F173BC">
      <w:pPr>
        <w:ind w:left="2160" w:hanging="720"/>
        <w:jc w:val="both"/>
      </w:pPr>
    </w:p>
    <w:p w14:paraId="1E695A09" w14:textId="1A04FA19" w:rsidR="00A86AE2" w:rsidRPr="004D6F3A" w:rsidRDefault="004F38D7" w:rsidP="00F173BC">
      <w:pPr>
        <w:pStyle w:val="ListParagraph"/>
        <w:numPr>
          <w:ilvl w:val="0"/>
          <w:numId w:val="46"/>
        </w:numPr>
        <w:ind w:left="2160" w:hanging="720"/>
        <w:jc w:val="both"/>
      </w:pPr>
      <w:r>
        <w:t>Preparing the STO certificate for the preliminary official statement and r</w:t>
      </w:r>
      <w:r w:rsidR="003E17E1" w:rsidRPr="004D6F3A">
        <w:t>eviewing</w:t>
      </w:r>
      <w:r w:rsidR="00061124">
        <w:t xml:space="preserve"> all </w:t>
      </w:r>
      <w:r>
        <w:t xml:space="preserve">other </w:t>
      </w:r>
      <w:r w:rsidR="00061124">
        <w:t>certificates to be delivered in connection with the preliminary and final official statements</w:t>
      </w:r>
      <w:r w:rsidR="006B020B" w:rsidRPr="004D6F3A">
        <w:t>;</w:t>
      </w:r>
    </w:p>
    <w:p w14:paraId="4AAFD646" w14:textId="77777777" w:rsidR="00A86AE2" w:rsidRPr="004D6F3A" w:rsidRDefault="00A86AE2" w:rsidP="00F173BC">
      <w:pPr>
        <w:ind w:left="2160" w:hanging="720"/>
        <w:jc w:val="both"/>
      </w:pPr>
    </w:p>
    <w:p w14:paraId="56BC0E73" w14:textId="029BA6F4" w:rsidR="00400DDE" w:rsidRPr="004D6F3A" w:rsidRDefault="00AE11AB" w:rsidP="00F173BC">
      <w:pPr>
        <w:pStyle w:val="ListParagraph"/>
        <w:numPr>
          <w:ilvl w:val="0"/>
          <w:numId w:val="46"/>
        </w:numPr>
        <w:ind w:left="2160" w:hanging="720"/>
        <w:jc w:val="both"/>
      </w:pPr>
      <w:r>
        <w:t>Participating in</w:t>
      </w:r>
      <w:r w:rsidR="00DC03B9">
        <w:t xml:space="preserve"> </w:t>
      </w:r>
      <w:r w:rsidR="00B861D7" w:rsidRPr="004D6F3A">
        <w:t>all</w:t>
      </w:r>
      <w:r w:rsidR="00F230BF" w:rsidRPr="004D6F3A">
        <w:t xml:space="preserve"> document </w:t>
      </w:r>
      <w:r w:rsidR="006A0AF5">
        <w:t xml:space="preserve">review </w:t>
      </w:r>
      <w:r w:rsidR="00B861D7" w:rsidRPr="004D6F3A">
        <w:t>sessions</w:t>
      </w:r>
      <w:r w:rsidR="005265F6" w:rsidRPr="004D6F3A">
        <w:t>;</w:t>
      </w:r>
    </w:p>
    <w:p w14:paraId="07833583" w14:textId="77777777" w:rsidR="00400DDE" w:rsidRPr="004D6F3A" w:rsidRDefault="00400DDE" w:rsidP="00F173BC">
      <w:pPr>
        <w:pStyle w:val="ListParagraph"/>
        <w:ind w:left="2160" w:hanging="720"/>
        <w:jc w:val="both"/>
      </w:pPr>
    </w:p>
    <w:p w14:paraId="4FA88D00" w14:textId="77777777" w:rsidR="00400DDE" w:rsidRPr="004D6F3A" w:rsidRDefault="00400DDE" w:rsidP="00F173BC">
      <w:pPr>
        <w:pStyle w:val="Heading5"/>
        <w:keepNext w:val="0"/>
        <w:widowControl w:val="0"/>
        <w:numPr>
          <w:ilvl w:val="0"/>
          <w:numId w:val="46"/>
        </w:numPr>
        <w:ind w:left="2160" w:hanging="720"/>
        <w:jc w:val="both"/>
        <w:rPr>
          <w:rFonts w:ascii="Times New Roman" w:hAnsi="Times New Roman"/>
          <w:b w:val="0"/>
        </w:rPr>
      </w:pPr>
      <w:r w:rsidRPr="004D6F3A">
        <w:rPr>
          <w:rFonts w:ascii="Times New Roman" w:hAnsi="Times New Roman"/>
          <w:b w:val="0"/>
        </w:rPr>
        <w:t>Preparing the continuing disclosure agreement;</w:t>
      </w:r>
    </w:p>
    <w:p w14:paraId="10360B80" w14:textId="77777777" w:rsidR="00400DDE" w:rsidRPr="004D6F3A" w:rsidRDefault="00400DDE" w:rsidP="00F173BC">
      <w:pPr>
        <w:pStyle w:val="ListParagraph"/>
        <w:widowControl w:val="0"/>
        <w:ind w:left="2160" w:hanging="720"/>
        <w:jc w:val="both"/>
      </w:pPr>
    </w:p>
    <w:p w14:paraId="0463E075" w14:textId="77777777" w:rsidR="00A86AE2" w:rsidRPr="004D6F3A" w:rsidRDefault="00400DDE" w:rsidP="00F173BC">
      <w:pPr>
        <w:pStyle w:val="ListParagraph"/>
        <w:numPr>
          <w:ilvl w:val="0"/>
          <w:numId w:val="46"/>
        </w:numPr>
        <w:ind w:left="2160" w:hanging="720"/>
        <w:jc w:val="both"/>
      </w:pPr>
      <w:r w:rsidRPr="004D6F3A">
        <w:t xml:space="preserve">Providing advice on any </w:t>
      </w:r>
      <w:r w:rsidR="000A44C8" w:rsidRPr="004D6F3A">
        <w:t xml:space="preserve">applicable </w:t>
      </w:r>
      <w:r w:rsidRPr="004D6F3A">
        <w:t>“blue sky” related issues</w:t>
      </w:r>
      <w:r w:rsidR="00BD008E" w:rsidRPr="004D6F3A">
        <w:t>;</w:t>
      </w:r>
    </w:p>
    <w:p w14:paraId="06A68967" w14:textId="77777777" w:rsidR="00E441E5" w:rsidRPr="004D6F3A" w:rsidRDefault="00E441E5" w:rsidP="00F173BC">
      <w:pPr>
        <w:ind w:left="2160" w:hanging="720"/>
        <w:jc w:val="both"/>
      </w:pPr>
    </w:p>
    <w:p w14:paraId="3DF1DDEE" w14:textId="7D1AFC48" w:rsidR="00E441E5" w:rsidRPr="004D6F3A" w:rsidRDefault="00E441E5" w:rsidP="00F173BC">
      <w:pPr>
        <w:pStyle w:val="ListParagraph"/>
        <w:numPr>
          <w:ilvl w:val="0"/>
          <w:numId w:val="46"/>
        </w:numPr>
        <w:ind w:left="2160" w:hanging="720"/>
        <w:jc w:val="both"/>
      </w:pPr>
      <w:r w:rsidRPr="004D6F3A">
        <w:t>Provid</w:t>
      </w:r>
      <w:r w:rsidR="00400DDE" w:rsidRPr="004D6F3A">
        <w:t>ing</w:t>
      </w:r>
      <w:r w:rsidRPr="004D6F3A">
        <w:t xml:space="preserve"> a “10b-5</w:t>
      </w:r>
      <w:r w:rsidR="00976120" w:rsidRPr="004D6F3A">
        <w:t>”</w:t>
      </w:r>
      <w:r w:rsidRPr="004D6F3A">
        <w:t xml:space="preserve"> </w:t>
      </w:r>
      <w:r w:rsidR="009B02F8" w:rsidRPr="004D6F3A">
        <w:t xml:space="preserve">letter </w:t>
      </w:r>
      <w:r w:rsidR="00FF002C" w:rsidRPr="004D6F3A">
        <w:t xml:space="preserve">on </w:t>
      </w:r>
      <w:r w:rsidRPr="004D6F3A">
        <w:t>the</w:t>
      </w:r>
      <w:r w:rsidR="00976120" w:rsidRPr="004D6F3A">
        <w:t xml:space="preserve"> </w:t>
      </w:r>
      <w:r w:rsidR="00CE7538" w:rsidRPr="004D6F3A">
        <w:t xml:space="preserve">preliminary official statement and the </w:t>
      </w:r>
      <w:r w:rsidR="00714342">
        <w:t xml:space="preserve">final </w:t>
      </w:r>
      <w:r w:rsidR="001729AF" w:rsidRPr="004D6F3A">
        <w:t>official statement</w:t>
      </w:r>
      <w:r w:rsidR="00976120" w:rsidRPr="004D6F3A">
        <w:t xml:space="preserve"> (excluding Appendix A and tax matters)</w:t>
      </w:r>
      <w:r w:rsidR="001729AF" w:rsidRPr="004D6F3A">
        <w:t>;</w:t>
      </w:r>
    </w:p>
    <w:p w14:paraId="02DBBF11" w14:textId="77777777" w:rsidR="00B861D7" w:rsidRPr="004D6F3A" w:rsidRDefault="00B861D7" w:rsidP="00F173BC">
      <w:pPr>
        <w:pStyle w:val="ListParagraph"/>
        <w:ind w:left="2160" w:hanging="720"/>
        <w:jc w:val="both"/>
      </w:pPr>
    </w:p>
    <w:p w14:paraId="433DAD37" w14:textId="39AF395E" w:rsidR="00B861D7" w:rsidRDefault="00B861D7" w:rsidP="00F173BC">
      <w:pPr>
        <w:pStyle w:val="ListParagraph"/>
        <w:numPr>
          <w:ilvl w:val="0"/>
          <w:numId w:val="46"/>
        </w:numPr>
        <w:ind w:left="2160" w:hanging="720"/>
        <w:jc w:val="both"/>
      </w:pPr>
      <w:r w:rsidRPr="004D6F3A">
        <w:t xml:space="preserve">Preparing </w:t>
      </w:r>
      <w:r w:rsidR="00194326" w:rsidRPr="004D6F3A">
        <w:t xml:space="preserve">or </w:t>
      </w:r>
      <w:r w:rsidR="00AE11AB">
        <w:t xml:space="preserve">reviewing </w:t>
      </w:r>
      <w:r w:rsidRPr="004D6F3A">
        <w:t xml:space="preserve">the notice of sale for competitive bond offerings, as </w:t>
      </w:r>
      <w:r w:rsidR="00B671BA">
        <w:t>requested</w:t>
      </w:r>
      <w:r w:rsidRPr="004D6F3A">
        <w:t>;</w:t>
      </w:r>
    </w:p>
    <w:p w14:paraId="5F28E1CF" w14:textId="77777777" w:rsidR="005E06D8" w:rsidRDefault="005E06D8" w:rsidP="000523A1">
      <w:pPr>
        <w:pStyle w:val="ListParagraph"/>
      </w:pPr>
    </w:p>
    <w:p w14:paraId="53444FE3" w14:textId="18F0D523" w:rsidR="005E06D8" w:rsidRPr="004D6F3A" w:rsidRDefault="005E06D8" w:rsidP="00F173BC">
      <w:pPr>
        <w:pStyle w:val="ListParagraph"/>
        <w:numPr>
          <w:ilvl w:val="0"/>
          <w:numId w:val="46"/>
        </w:numPr>
        <w:ind w:left="2160" w:hanging="720"/>
        <w:jc w:val="both"/>
      </w:pPr>
      <w:r>
        <w:t>Meeting with and participating in calls with rating agencies and investors as required;</w:t>
      </w:r>
    </w:p>
    <w:p w14:paraId="302B001C" w14:textId="77777777" w:rsidR="00A86AE2" w:rsidRPr="004D6F3A" w:rsidRDefault="00A86AE2" w:rsidP="00F173BC">
      <w:pPr>
        <w:ind w:left="2160" w:hanging="720"/>
        <w:jc w:val="both"/>
      </w:pPr>
    </w:p>
    <w:p w14:paraId="7CAFF694" w14:textId="77777777" w:rsidR="00CB2C18" w:rsidRPr="004D6F3A" w:rsidRDefault="00A86AE2" w:rsidP="00F173BC">
      <w:pPr>
        <w:pStyle w:val="ListParagraph"/>
        <w:numPr>
          <w:ilvl w:val="0"/>
          <w:numId w:val="46"/>
        </w:numPr>
        <w:ind w:left="2160" w:hanging="720"/>
        <w:jc w:val="both"/>
      </w:pPr>
      <w:r w:rsidRPr="004D6F3A">
        <w:t>Act</w:t>
      </w:r>
      <w:r w:rsidR="00400DDE" w:rsidRPr="004D6F3A">
        <w:t>ing</w:t>
      </w:r>
      <w:r w:rsidRPr="004D6F3A">
        <w:t xml:space="preserve"> as </w:t>
      </w:r>
      <w:r w:rsidR="00F04F12" w:rsidRPr="004D6F3A">
        <w:t xml:space="preserve">the </w:t>
      </w:r>
      <w:r w:rsidRPr="004D6F3A">
        <w:t xml:space="preserve">liaison to the electronic </w:t>
      </w:r>
      <w:r w:rsidR="00870445" w:rsidRPr="004D6F3A">
        <w:t xml:space="preserve">document </w:t>
      </w:r>
      <w:r w:rsidRPr="004D6F3A">
        <w:t>service provider (printer)</w:t>
      </w:r>
      <w:r w:rsidR="00CB2C18" w:rsidRPr="004D6F3A">
        <w:t>;</w:t>
      </w:r>
    </w:p>
    <w:p w14:paraId="059385C1" w14:textId="77777777" w:rsidR="00CB2C18" w:rsidRPr="004D6F3A" w:rsidRDefault="00CB2C18" w:rsidP="00F173BC">
      <w:pPr>
        <w:ind w:left="2160" w:hanging="720"/>
        <w:jc w:val="both"/>
      </w:pPr>
    </w:p>
    <w:p w14:paraId="077EE581" w14:textId="21BAEB95" w:rsidR="00976120" w:rsidRPr="004D6F3A" w:rsidRDefault="00A86AE2" w:rsidP="00F173BC">
      <w:pPr>
        <w:pStyle w:val="ListParagraph"/>
        <w:numPr>
          <w:ilvl w:val="0"/>
          <w:numId w:val="46"/>
        </w:numPr>
        <w:ind w:left="2160" w:hanging="720"/>
        <w:jc w:val="both"/>
      </w:pPr>
      <w:r w:rsidRPr="004D6F3A">
        <w:t>Coordinat</w:t>
      </w:r>
      <w:r w:rsidR="00400DDE" w:rsidRPr="004D6F3A">
        <w:t>ing</w:t>
      </w:r>
      <w:r w:rsidRPr="004D6F3A">
        <w:t xml:space="preserve"> the sign off </w:t>
      </w:r>
      <w:r w:rsidR="00F04F12" w:rsidRPr="004D6F3A">
        <w:t>and electronic distribution of the preliminary</w:t>
      </w:r>
      <w:r w:rsidR="006C41B2">
        <w:t xml:space="preserve"> official statement</w:t>
      </w:r>
      <w:r w:rsidR="00F04F12" w:rsidRPr="004D6F3A">
        <w:t xml:space="preserve"> and </w:t>
      </w:r>
      <w:r w:rsidR="006C41B2">
        <w:t xml:space="preserve">the </w:t>
      </w:r>
      <w:r w:rsidR="00F04F12" w:rsidRPr="004D6F3A">
        <w:t>final official statement</w:t>
      </w:r>
      <w:r w:rsidRPr="004D6F3A">
        <w:t>;</w:t>
      </w:r>
      <w:r w:rsidR="001E7B9E" w:rsidRPr="004D6F3A" w:rsidDel="001E7B9E">
        <w:t xml:space="preserve"> </w:t>
      </w:r>
    </w:p>
    <w:p w14:paraId="2A3735AB" w14:textId="77777777" w:rsidR="00CB2C18" w:rsidRPr="004D6F3A" w:rsidRDefault="00CB2C18" w:rsidP="00F173BC">
      <w:pPr>
        <w:ind w:left="2160" w:hanging="720"/>
        <w:jc w:val="both"/>
      </w:pPr>
    </w:p>
    <w:p w14:paraId="2312B69E" w14:textId="77777777" w:rsidR="00976120" w:rsidRPr="004D6F3A" w:rsidRDefault="00976120" w:rsidP="00F173BC">
      <w:pPr>
        <w:pStyle w:val="ListParagraph"/>
        <w:numPr>
          <w:ilvl w:val="0"/>
          <w:numId w:val="46"/>
        </w:numPr>
        <w:ind w:left="2160" w:hanging="720"/>
        <w:jc w:val="both"/>
      </w:pPr>
      <w:r w:rsidRPr="004D6F3A">
        <w:t>Keep</w:t>
      </w:r>
      <w:r w:rsidR="00400DDE" w:rsidRPr="004D6F3A">
        <w:t>ing</w:t>
      </w:r>
      <w:r w:rsidRPr="004D6F3A">
        <w:t xml:space="preserve"> the STO informed of “best practices” in disclosure;</w:t>
      </w:r>
    </w:p>
    <w:p w14:paraId="1FF4888B" w14:textId="77777777" w:rsidR="00976120" w:rsidRPr="004D6F3A" w:rsidRDefault="00976120" w:rsidP="00F173BC">
      <w:pPr>
        <w:widowControl w:val="0"/>
        <w:ind w:left="2160" w:hanging="720"/>
        <w:jc w:val="both"/>
      </w:pPr>
    </w:p>
    <w:p w14:paraId="0326F85E" w14:textId="77777777" w:rsidR="00A86AE2" w:rsidRPr="004D6F3A" w:rsidRDefault="00976120" w:rsidP="00714A39">
      <w:pPr>
        <w:pStyle w:val="Heading5"/>
        <w:keepNext w:val="0"/>
        <w:widowControl w:val="0"/>
        <w:numPr>
          <w:ilvl w:val="0"/>
          <w:numId w:val="46"/>
        </w:numPr>
        <w:ind w:left="2160" w:hanging="720"/>
        <w:jc w:val="both"/>
        <w:rPr>
          <w:rFonts w:ascii="Times New Roman" w:hAnsi="Times New Roman"/>
          <w:b w:val="0"/>
        </w:rPr>
      </w:pPr>
      <w:r w:rsidRPr="004D6F3A">
        <w:rPr>
          <w:rFonts w:ascii="Times New Roman" w:hAnsi="Times New Roman"/>
          <w:b w:val="0"/>
        </w:rPr>
        <w:t>Provid</w:t>
      </w:r>
      <w:r w:rsidR="00400DDE" w:rsidRPr="004D6F3A">
        <w:rPr>
          <w:rFonts w:ascii="Times New Roman" w:hAnsi="Times New Roman"/>
          <w:b w:val="0"/>
        </w:rPr>
        <w:t>ing</w:t>
      </w:r>
      <w:r w:rsidRPr="004D6F3A">
        <w:rPr>
          <w:rFonts w:ascii="Times New Roman" w:hAnsi="Times New Roman"/>
          <w:b w:val="0"/>
        </w:rPr>
        <w:t xml:space="preserve"> on-going legal advice as needed in areas of disclosure</w:t>
      </w:r>
      <w:r w:rsidR="00BD008E" w:rsidRPr="004D6F3A">
        <w:rPr>
          <w:rFonts w:ascii="Times New Roman" w:hAnsi="Times New Roman"/>
          <w:b w:val="0"/>
        </w:rPr>
        <w:t>;</w:t>
      </w:r>
      <w:r w:rsidR="006B020B" w:rsidRPr="004D6F3A">
        <w:rPr>
          <w:rFonts w:ascii="Times New Roman" w:hAnsi="Times New Roman"/>
          <w:b w:val="0"/>
        </w:rPr>
        <w:t xml:space="preserve"> and</w:t>
      </w:r>
    </w:p>
    <w:p w14:paraId="0912E6A6" w14:textId="77777777" w:rsidR="00A86AE2" w:rsidRPr="004D6F3A" w:rsidRDefault="00A86AE2" w:rsidP="00714A39">
      <w:pPr>
        <w:widowControl w:val="0"/>
        <w:ind w:left="2160" w:hanging="720"/>
        <w:jc w:val="both"/>
      </w:pPr>
    </w:p>
    <w:p w14:paraId="35272023" w14:textId="77777777" w:rsidR="00071EE4" w:rsidRPr="004D6F3A" w:rsidRDefault="00071EE4" w:rsidP="00714A39">
      <w:pPr>
        <w:pStyle w:val="Heading5"/>
        <w:keepNext w:val="0"/>
        <w:widowControl w:val="0"/>
        <w:numPr>
          <w:ilvl w:val="0"/>
          <w:numId w:val="46"/>
        </w:numPr>
        <w:ind w:left="2160" w:hanging="720"/>
        <w:jc w:val="both"/>
        <w:rPr>
          <w:rFonts w:ascii="Times New Roman" w:hAnsi="Times New Roman"/>
          <w:b w:val="0"/>
        </w:rPr>
      </w:pPr>
      <w:r w:rsidRPr="004D6F3A">
        <w:rPr>
          <w:rFonts w:ascii="Times New Roman" w:hAnsi="Times New Roman"/>
          <w:b w:val="0"/>
        </w:rPr>
        <w:t>Providing training on</w:t>
      </w:r>
      <w:r w:rsidR="00DC6133" w:rsidRPr="004D6F3A">
        <w:rPr>
          <w:rFonts w:ascii="Times New Roman" w:hAnsi="Times New Roman"/>
          <w:b w:val="0"/>
        </w:rPr>
        <w:t xml:space="preserve"> disclosure related matters to S</w:t>
      </w:r>
      <w:r w:rsidRPr="004D6F3A">
        <w:rPr>
          <w:rFonts w:ascii="Times New Roman" w:hAnsi="Times New Roman"/>
          <w:b w:val="0"/>
        </w:rPr>
        <w:t>tate personnel, as requested.</w:t>
      </w:r>
    </w:p>
    <w:p w14:paraId="3908A12B" w14:textId="77777777" w:rsidR="00F04F12" w:rsidRPr="004D6F3A" w:rsidRDefault="00F04F12" w:rsidP="00714A39">
      <w:pPr>
        <w:widowControl w:val="0"/>
        <w:tabs>
          <w:tab w:val="left" w:pos="1800"/>
        </w:tabs>
        <w:ind w:left="1440"/>
        <w:jc w:val="both"/>
      </w:pPr>
    </w:p>
    <w:p w14:paraId="1B1BBDA3" w14:textId="77777777" w:rsidR="005768DC" w:rsidRPr="004D6F3A" w:rsidRDefault="00401141" w:rsidP="00714A39">
      <w:pPr>
        <w:numPr>
          <w:ilvl w:val="0"/>
          <w:numId w:val="2"/>
        </w:numPr>
        <w:tabs>
          <w:tab w:val="clear" w:pos="6570"/>
        </w:tabs>
        <w:ind w:left="1440" w:hanging="720"/>
        <w:jc w:val="both"/>
        <w:rPr>
          <w:b/>
        </w:rPr>
      </w:pPr>
      <w:r w:rsidRPr="004D6F3A">
        <w:rPr>
          <w:b/>
        </w:rPr>
        <w:t>APPENDIX A DISCLOSURE COUNSEL ASSIGNMENT</w:t>
      </w:r>
    </w:p>
    <w:p w14:paraId="1246CB44" w14:textId="77777777" w:rsidR="005768DC" w:rsidRPr="004D6F3A" w:rsidRDefault="005768DC" w:rsidP="00714A39">
      <w:pPr>
        <w:pStyle w:val="BodyTextIndent2"/>
        <w:ind w:left="1440"/>
        <w:jc w:val="both"/>
        <w:rPr>
          <w:rFonts w:ascii="Times New Roman" w:hAnsi="Times New Roman"/>
          <w:szCs w:val="24"/>
        </w:rPr>
      </w:pPr>
      <w:r w:rsidRPr="004D6F3A">
        <w:rPr>
          <w:rFonts w:ascii="Times New Roman" w:hAnsi="Times New Roman"/>
          <w:szCs w:val="24"/>
        </w:rPr>
        <w:t xml:space="preserve">The scope of services for </w:t>
      </w:r>
      <w:r w:rsidR="00FE5DEA" w:rsidRPr="004D6F3A">
        <w:rPr>
          <w:rFonts w:ascii="Times New Roman" w:hAnsi="Times New Roman"/>
          <w:szCs w:val="24"/>
        </w:rPr>
        <w:t xml:space="preserve">the </w:t>
      </w:r>
      <w:r w:rsidR="00B706E8" w:rsidRPr="004D6F3A">
        <w:rPr>
          <w:rFonts w:ascii="Times New Roman" w:hAnsi="Times New Roman"/>
          <w:szCs w:val="24"/>
        </w:rPr>
        <w:t xml:space="preserve">Appendix A </w:t>
      </w:r>
      <w:r w:rsidRPr="004D6F3A">
        <w:rPr>
          <w:rFonts w:ascii="Times New Roman" w:hAnsi="Times New Roman"/>
          <w:szCs w:val="24"/>
        </w:rPr>
        <w:t>Disclosu</w:t>
      </w:r>
      <w:r w:rsidR="0051541D" w:rsidRPr="004D6F3A">
        <w:rPr>
          <w:rFonts w:ascii="Times New Roman" w:hAnsi="Times New Roman"/>
          <w:szCs w:val="24"/>
        </w:rPr>
        <w:t xml:space="preserve">re Counsel </w:t>
      </w:r>
      <w:r w:rsidR="00FE5DEA" w:rsidRPr="004D6F3A">
        <w:rPr>
          <w:rFonts w:ascii="Times New Roman" w:hAnsi="Times New Roman"/>
          <w:szCs w:val="24"/>
        </w:rPr>
        <w:t xml:space="preserve">Assignment </w:t>
      </w:r>
      <w:r w:rsidRPr="004D6F3A">
        <w:rPr>
          <w:rFonts w:ascii="Times New Roman" w:hAnsi="Times New Roman"/>
          <w:szCs w:val="24"/>
        </w:rPr>
        <w:t>will include, but will not be limited to, the following:</w:t>
      </w:r>
    </w:p>
    <w:p w14:paraId="40F0BA42" w14:textId="77777777" w:rsidR="005768DC" w:rsidRPr="004D6F3A" w:rsidRDefault="005768DC" w:rsidP="00714A39">
      <w:pPr>
        <w:ind w:left="1080"/>
        <w:jc w:val="both"/>
        <w:rPr>
          <w:b/>
        </w:rPr>
      </w:pPr>
    </w:p>
    <w:p w14:paraId="6E26458C" w14:textId="589C5697" w:rsidR="005768DC" w:rsidRPr="004D6F3A" w:rsidRDefault="001D2D3A" w:rsidP="00714A39">
      <w:pPr>
        <w:numPr>
          <w:ilvl w:val="1"/>
          <w:numId w:val="2"/>
        </w:numPr>
        <w:tabs>
          <w:tab w:val="clear" w:pos="1800"/>
        </w:tabs>
        <w:ind w:left="2160" w:hanging="720"/>
        <w:jc w:val="both"/>
      </w:pPr>
      <w:r w:rsidRPr="004D6F3A">
        <w:t>Working with State officials to p</w:t>
      </w:r>
      <w:r w:rsidR="005768DC" w:rsidRPr="004D6F3A">
        <w:t>repar</w:t>
      </w:r>
      <w:r w:rsidRPr="004D6F3A">
        <w:t>e</w:t>
      </w:r>
      <w:r w:rsidR="00206BA9" w:rsidRPr="004D6F3A">
        <w:t xml:space="preserve"> and update</w:t>
      </w:r>
      <w:r w:rsidR="005768DC" w:rsidRPr="004D6F3A">
        <w:t xml:space="preserve"> Appendix A for use in State offering </w:t>
      </w:r>
      <w:r w:rsidR="00AE11AB">
        <w:t xml:space="preserve">or disclosure </w:t>
      </w:r>
      <w:r w:rsidR="005768DC" w:rsidRPr="004D6F3A">
        <w:t xml:space="preserve">documents for all </w:t>
      </w:r>
      <w:r w:rsidR="00CE7538" w:rsidRPr="004D6F3A">
        <w:t xml:space="preserve">debt issuances that require </w:t>
      </w:r>
      <w:r w:rsidR="00AE11AB">
        <w:t>the inclusion of Appendix A</w:t>
      </w:r>
      <w:r w:rsidR="00AB39D9" w:rsidRPr="004D6F3A">
        <w:t>;</w:t>
      </w:r>
    </w:p>
    <w:p w14:paraId="4D470851" w14:textId="77777777" w:rsidR="00BA7A78" w:rsidRPr="004D6F3A" w:rsidRDefault="00BA7A78" w:rsidP="00714A39">
      <w:pPr>
        <w:ind w:left="2160" w:hanging="720"/>
        <w:jc w:val="both"/>
      </w:pPr>
    </w:p>
    <w:p w14:paraId="3916DA07" w14:textId="77777777" w:rsidR="00206BA9" w:rsidRPr="004D6F3A" w:rsidRDefault="00206BA9" w:rsidP="00714A39">
      <w:pPr>
        <w:numPr>
          <w:ilvl w:val="1"/>
          <w:numId w:val="2"/>
        </w:numPr>
        <w:tabs>
          <w:tab w:val="clear" w:pos="1800"/>
        </w:tabs>
        <w:ind w:left="2160" w:hanging="720"/>
        <w:jc w:val="both"/>
      </w:pPr>
      <w:r w:rsidRPr="004D6F3A">
        <w:lastRenderedPageBreak/>
        <w:t xml:space="preserve">Participating in </w:t>
      </w:r>
      <w:r w:rsidR="00E14821" w:rsidRPr="004D6F3A">
        <w:t xml:space="preserve">all document </w:t>
      </w:r>
      <w:r w:rsidR="006A0AF5">
        <w:t xml:space="preserve">review </w:t>
      </w:r>
      <w:r w:rsidR="00E14821" w:rsidRPr="004D6F3A">
        <w:t xml:space="preserve">sessions where </w:t>
      </w:r>
      <w:r w:rsidRPr="004D6F3A">
        <w:t xml:space="preserve">Appendix A </w:t>
      </w:r>
      <w:r w:rsidR="00E14821" w:rsidRPr="004D6F3A">
        <w:t>is discussed</w:t>
      </w:r>
      <w:r w:rsidRPr="004D6F3A">
        <w:t xml:space="preserve">; </w:t>
      </w:r>
    </w:p>
    <w:p w14:paraId="3CB706C6" w14:textId="77777777" w:rsidR="005768DC" w:rsidRPr="004D6F3A" w:rsidRDefault="005768DC" w:rsidP="00714A39">
      <w:pPr>
        <w:ind w:left="2160" w:hanging="720"/>
        <w:jc w:val="both"/>
      </w:pPr>
    </w:p>
    <w:p w14:paraId="548BB7AA" w14:textId="77777777" w:rsidR="008C046A" w:rsidRPr="004D6F3A" w:rsidRDefault="005768DC" w:rsidP="00714A39">
      <w:pPr>
        <w:numPr>
          <w:ilvl w:val="1"/>
          <w:numId w:val="2"/>
        </w:numPr>
        <w:tabs>
          <w:tab w:val="clear" w:pos="1800"/>
        </w:tabs>
        <w:ind w:left="2160" w:hanging="720"/>
        <w:jc w:val="both"/>
      </w:pPr>
      <w:r w:rsidRPr="004D6F3A">
        <w:t>Providing a “10b-5</w:t>
      </w:r>
      <w:r w:rsidR="00553A88" w:rsidRPr="004D6F3A">
        <w:t>”</w:t>
      </w:r>
      <w:r w:rsidRPr="004D6F3A">
        <w:t xml:space="preserve"> </w:t>
      </w:r>
      <w:r w:rsidR="009B02F8" w:rsidRPr="004D6F3A">
        <w:t xml:space="preserve">letter </w:t>
      </w:r>
      <w:r w:rsidRPr="004D6F3A">
        <w:t xml:space="preserve">on Appendix A </w:t>
      </w:r>
      <w:r w:rsidR="00FE7D24" w:rsidRPr="004D6F3A">
        <w:t>for</w:t>
      </w:r>
      <w:r w:rsidRPr="004D6F3A">
        <w:t xml:space="preserve"> all </w:t>
      </w:r>
      <w:r w:rsidR="00FE7D24" w:rsidRPr="004D6F3A">
        <w:t xml:space="preserve">State </w:t>
      </w:r>
      <w:r w:rsidRPr="004D6F3A">
        <w:t>financings</w:t>
      </w:r>
      <w:r w:rsidR="00036738" w:rsidRPr="004D6F3A">
        <w:t xml:space="preserve"> that utilize Appendix A</w:t>
      </w:r>
      <w:r w:rsidR="00CE7538" w:rsidRPr="004D6F3A">
        <w:t>, including both the preliminary official statement and the official statement</w:t>
      </w:r>
      <w:r w:rsidR="00AB39D9" w:rsidRPr="004D6F3A">
        <w:t>;</w:t>
      </w:r>
    </w:p>
    <w:p w14:paraId="0F11D784" w14:textId="77777777" w:rsidR="00BA7A78" w:rsidRPr="004D6F3A" w:rsidRDefault="00BA7A78" w:rsidP="00714A39">
      <w:pPr>
        <w:pStyle w:val="ListParagraph"/>
        <w:ind w:left="2160" w:hanging="720"/>
        <w:jc w:val="both"/>
      </w:pPr>
    </w:p>
    <w:p w14:paraId="3A85A5DD" w14:textId="77777777" w:rsidR="00206BA9" w:rsidRPr="004D6F3A" w:rsidRDefault="00206BA9" w:rsidP="00714A39">
      <w:pPr>
        <w:numPr>
          <w:ilvl w:val="1"/>
          <w:numId w:val="2"/>
        </w:numPr>
        <w:tabs>
          <w:tab w:val="clear" w:pos="1800"/>
        </w:tabs>
        <w:ind w:left="2160" w:hanging="720"/>
        <w:jc w:val="both"/>
      </w:pPr>
      <w:r w:rsidRPr="004D6F3A">
        <w:t xml:space="preserve">Preparing and coordinating the execution of </w:t>
      </w:r>
      <w:r w:rsidR="00D047D7" w:rsidRPr="004D6F3A">
        <w:t>“</w:t>
      </w:r>
      <w:r w:rsidRPr="004D6F3A">
        <w:t>10b-5</w:t>
      </w:r>
      <w:r w:rsidR="00D047D7" w:rsidRPr="004D6F3A">
        <w:t>”</w:t>
      </w:r>
      <w:r w:rsidRPr="004D6F3A">
        <w:t xml:space="preserve"> certificates for the </w:t>
      </w:r>
      <w:r w:rsidR="00E14821" w:rsidRPr="004D6F3A">
        <w:t>primary State contributors to Appendix A</w:t>
      </w:r>
      <w:r w:rsidR="00036738" w:rsidRPr="004D6F3A">
        <w:t>, including DOF, STO</w:t>
      </w:r>
      <w:r w:rsidR="00870445" w:rsidRPr="004D6F3A">
        <w:t>,</w:t>
      </w:r>
      <w:r w:rsidR="00036738" w:rsidRPr="004D6F3A">
        <w:t xml:space="preserve"> and SCO</w:t>
      </w:r>
      <w:r w:rsidRPr="004D6F3A">
        <w:t>;</w:t>
      </w:r>
    </w:p>
    <w:p w14:paraId="3438F0FE" w14:textId="77777777" w:rsidR="008C046A" w:rsidRPr="004D6F3A" w:rsidRDefault="008C046A" w:rsidP="00714A39">
      <w:pPr>
        <w:pStyle w:val="ListParagraph"/>
        <w:ind w:left="2160" w:hanging="720"/>
        <w:jc w:val="both"/>
      </w:pPr>
    </w:p>
    <w:p w14:paraId="078214B9" w14:textId="77777777" w:rsidR="005768DC" w:rsidRPr="004D6F3A" w:rsidRDefault="008C046A" w:rsidP="00714A39">
      <w:pPr>
        <w:numPr>
          <w:ilvl w:val="1"/>
          <w:numId w:val="2"/>
        </w:numPr>
        <w:tabs>
          <w:tab w:val="clear" w:pos="1800"/>
        </w:tabs>
        <w:ind w:left="2160" w:hanging="720"/>
        <w:jc w:val="both"/>
      </w:pPr>
      <w:r w:rsidRPr="004D6F3A">
        <w:t>Participating, as requested, in informational meetings and discussions with various parties, including investors;</w:t>
      </w:r>
    </w:p>
    <w:p w14:paraId="2461A585" w14:textId="77777777" w:rsidR="005768DC" w:rsidRPr="004D6F3A" w:rsidRDefault="005768DC" w:rsidP="00714A39">
      <w:pPr>
        <w:ind w:left="2160" w:hanging="720"/>
        <w:jc w:val="both"/>
      </w:pPr>
    </w:p>
    <w:p w14:paraId="5117AE84" w14:textId="77777777" w:rsidR="005768DC" w:rsidRPr="004D6F3A" w:rsidRDefault="005768DC" w:rsidP="00714A39">
      <w:pPr>
        <w:numPr>
          <w:ilvl w:val="1"/>
          <w:numId w:val="2"/>
        </w:numPr>
        <w:tabs>
          <w:tab w:val="clear" w:pos="1800"/>
        </w:tabs>
        <w:ind w:left="2160" w:hanging="720"/>
        <w:jc w:val="both"/>
      </w:pPr>
      <w:r w:rsidRPr="004D6F3A">
        <w:t xml:space="preserve">Keeping the </w:t>
      </w:r>
      <w:r w:rsidR="00E14821" w:rsidRPr="004D6F3A">
        <w:t>State</w:t>
      </w:r>
      <w:r w:rsidRPr="004D6F3A">
        <w:t xml:space="preserve"> informed of rulings issued by regulatory agencies such as the U.S. Securities</w:t>
      </w:r>
      <w:r w:rsidR="00B7279C" w:rsidRPr="004D6F3A">
        <w:t xml:space="preserve"> and E</w:t>
      </w:r>
      <w:r w:rsidRPr="004D6F3A">
        <w:t xml:space="preserve">xchange Commission and Municipal Securities Rulemaking Board that impact the State’s </w:t>
      </w:r>
      <w:r w:rsidR="00E70B06" w:rsidRPr="004D6F3A">
        <w:t>disclosure practices</w:t>
      </w:r>
      <w:r w:rsidR="00AB39D9" w:rsidRPr="004D6F3A">
        <w:t>;</w:t>
      </w:r>
    </w:p>
    <w:p w14:paraId="148ED792" w14:textId="77777777" w:rsidR="0093608B" w:rsidRPr="004D6F3A" w:rsidRDefault="0093608B" w:rsidP="00714A39">
      <w:pPr>
        <w:pStyle w:val="ListParagraph"/>
        <w:ind w:left="2160" w:hanging="720"/>
        <w:jc w:val="both"/>
      </w:pPr>
    </w:p>
    <w:p w14:paraId="46F0B8CE" w14:textId="77777777" w:rsidR="00B706E8" w:rsidRPr="004D6F3A" w:rsidRDefault="00B706E8" w:rsidP="00714A39">
      <w:pPr>
        <w:numPr>
          <w:ilvl w:val="1"/>
          <w:numId w:val="2"/>
        </w:numPr>
        <w:tabs>
          <w:tab w:val="clear" w:pos="1800"/>
        </w:tabs>
        <w:ind w:left="2160" w:hanging="720"/>
        <w:jc w:val="both"/>
      </w:pPr>
      <w:r w:rsidRPr="004D6F3A">
        <w:t xml:space="preserve">Keeping the </w:t>
      </w:r>
      <w:r w:rsidR="00E14821" w:rsidRPr="004D6F3A">
        <w:t>State</w:t>
      </w:r>
      <w:r w:rsidRPr="004D6F3A">
        <w:t xml:space="preserve"> informed of “best practices” in disclosure</w:t>
      </w:r>
      <w:r w:rsidR="006A0AF5">
        <w:t>, for example, those arising from changes in practice or resulting from decisions of relevant courts</w:t>
      </w:r>
      <w:r w:rsidR="00AB39D9" w:rsidRPr="004D6F3A">
        <w:t>;</w:t>
      </w:r>
    </w:p>
    <w:p w14:paraId="1BEE9C97" w14:textId="77777777" w:rsidR="007C6AFC" w:rsidRPr="004D6F3A" w:rsidRDefault="007C6AFC" w:rsidP="00714A39">
      <w:pPr>
        <w:ind w:left="2160" w:hanging="720"/>
        <w:jc w:val="both"/>
      </w:pPr>
    </w:p>
    <w:p w14:paraId="2BFA19F5" w14:textId="77777777" w:rsidR="00FA6261" w:rsidRPr="004D6F3A" w:rsidRDefault="007C6AFC" w:rsidP="00714A39">
      <w:pPr>
        <w:numPr>
          <w:ilvl w:val="1"/>
          <w:numId w:val="2"/>
        </w:numPr>
        <w:tabs>
          <w:tab w:val="clear" w:pos="1800"/>
        </w:tabs>
        <w:ind w:left="2160" w:hanging="720"/>
        <w:jc w:val="both"/>
      </w:pPr>
      <w:r w:rsidRPr="004D6F3A">
        <w:t xml:space="preserve">Advising the </w:t>
      </w:r>
      <w:r w:rsidR="00E14821" w:rsidRPr="004D6F3A">
        <w:t>State</w:t>
      </w:r>
      <w:r w:rsidRPr="004D6F3A">
        <w:t xml:space="preserve"> on </w:t>
      </w:r>
      <w:r w:rsidR="001D2D3A" w:rsidRPr="004D6F3A">
        <w:t xml:space="preserve">ongoing </w:t>
      </w:r>
      <w:r w:rsidRPr="004D6F3A">
        <w:t>matters relating to disclosure</w:t>
      </w:r>
      <w:r w:rsidR="00AB39D9" w:rsidRPr="004D6F3A">
        <w:t xml:space="preserve">; </w:t>
      </w:r>
    </w:p>
    <w:p w14:paraId="34C2A253" w14:textId="77777777" w:rsidR="00FA6261" w:rsidRPr="004D6F3A" w:rsidRDefault="00FA6261" w:rsidP="00714A39">
      <w:pPr>
        <w:pStyle w:val="ListParagraph"/>
        <w:jc w:val="both"/>
      </w:pPr>
    </w:p>
    <w:p w14:paraId="29DA0738" w14:textId="1EE0888D" w:rsidR="007C6AFC" w:rsidRPr="004D6F3A" w:rsidRDefault="00B76EE4" w:rsidP="00714A39">
      <w:pPr>
        <w:pStyle w:val="ListParagraph"/>
        <w:numPr>
          <w:ilvl w:val="1"/>
          <w:numId w:val="2"/>
        </w:numPr>
        <w:tabs>
          <w:tab w:val="clear" w:pos="1800"/>
        </w:tabs>
        <w:ind w:left="2160" w:hanging="720"/>
        <w:jc w:val="both"/>
      </w:pPr>
      <w:r w:rsidRPr="004D6F3A">
        <w:t>Reviewing the State’s financial and budget information included in offering documents for</w:t>
      </w:r>
      <w:r w:rsidR="00FA6261" w:rsidRPr="004D6F3A">
        <w:t xml:space="preserve"> health care facilities </w:t>
      </w:r>
      <w:r w:rsidRPr="004D6F3A">
        <w:t xml:space="preserve">bond issuances </w:t>
      </w:r>
      <w:r w:rsidR="00FA6261" w:rsidRPr="004D6F3A">
        <w:t>which are insured</w:t>
      </w:r>
      <w:r w:rsidR="006C41B2">
        <w:t xml:space="preserve"> by the California Department of Health Care Access and Information,</w:t>
      </w:r>
      <w:r w:rsidRPr="004D6F3A">
        <w:t xml:space="preserve"> </w:t>
      </w:r>
      <w:r w:rsidR="00FA6261" w:rsidRPr="004D6F3A">
        <w:t>commonly referred to as the “Cal-Mortgage Program”</w:t>
      </w:r>
      <w:r w:rsidR="00F66D1B">
        <w:t xml:space="preserve"> </w:t>
      </w:r>
      <w:r w:rsidRPr="004D6F3A">
        <w:t>(Note: no legal opinions are required in connection with this service)</w:t>
      </w:r>
      <w:r w:rsidR="00FA6261" w:rsidRPr="004D6F3A">
        <w:t xml:space="preserve">; </w:t>
      </w:r>
      <w:r w:rsidR="00AB39D9" w:rsidRPr="004D6F3A">
        <w:t>and</w:t>
      </w:r>
    </w:p>
    <w:p w14:paraId="2C53CA9C" w14:textId="77777777" w:rsidR="0093608B" w:rsidRPr="004D6F3A" w:rsidRDefault="0093608B" w:rsidP="00714A39">
      <w:pPr>
        <w:pStyle w:val="ListParagraph"/>
        <w:ind w:left="2160" w:hanging="720"/>
        <w:jc w:val="both"/>
      </w:pPr>
    </w:p>
    <w:p w14:paraId="25907F4A" w14:textId="77777777" w:rsidR="00B941AF" w:rsidRPr="004D6F3A" w:rsidRDefault="00F0058C" w:rsidP="00F66D1B">
      <w:pPr>
        <w:numPr>
          <w:ilvl w:val="1"/>
          <w:numId w:val="2"/>
        </w:numPr>
        <w:tabs>
          <w:tab w:val="clear" w:pos="1800"/>
        </w:tabs>
        <w:ind w:left="2160" w:hanging="720"/>
        <w:jc w:val="both"/>
      </w:pPr>
      <w:r w:rsidRPr="004D6F3A">
        <w:t>Providing training to State officials regarding their disclosure obligations</w:t>
      </w:r>
      <w:r w:rsidR="004F562A" w:rsidRPr="004D6F3A">
        <w:t>.</w:t>
      </w:r>
    </w:p>
    <w:p w14:paraId="337011B3" w14:textId="77777777" w:rsidR="00696DA8" w:rsidRDefault="00696DA8" w:rsidP="00977362">
      <w:pPr>
        <w:jc w:val="both"/>
      </w:pPr>
    </w:p>
    <w:p w14:paraId="240F8977" w14:textId="27FDDF24" w:rsidR="005E418E" w:rsidRDefault="006C41B2" w:rsidP="005E418E">
      <w:pPr>
        <w:numPr>
          <w:ilvl w:val="0"/>
          <w:numId w:val="2"/>
        </w:numPr>
        <w:tabs>
          <w:tab w:val="clear" w:pos="6570"/>
        </w:tabs>
        <w:ind w:left="1440" w:hanging="720"/>
        <w:jc w:val="both"/>
        <w:rPr>
          <w:b/>
        </w:rPr>
      </w:pPr>
      <w:r>
        <w:rPr>
          <w:b/>
        </w:rPr>
        <w:t>CALVETS</w:t>
      </w:r>
      <w:r w:rsidR="005D13BA" w:rsidRPr="004D6F3A">
        <w:t xml:space="preserve"> </w:t>
      </w:r>
      <w:r w:rsidR="005E418E" w:rsidRPr="004D6F3A">
        <w:rPr>
          <w:b/>
        </w:rPr>
        <w:t>DISCLOSURE COUNSEL ASSIGNMENT</w:t>
      </w:r>
    </w:p>
    <w:p w14:paraId="063B2EA5" w14:textId="62D57D45" w:rsidR="00901934" w:rsidRPr="004D6F3A" w:rsidRDefault="00B2606E" w:rsidP="00901934">
      <w:pPr>
        <w:pStyle w:val="BodyTextIndent2"/>
        <w:ind w:left="1440"/>
        <w:jc w:val="both"/>
        <w:rPr>
          <w:rFonts w:ascii="Times New Roman" w:hAnsi="Times New Roman"/>
          <w:szCs w:val="24"/>
        </w:rPr>
      </w:pPr>
      <w:r>
        <w:rPr>
          <w:rFonts w:ascii="Times New Roman" w:hAnsi="Times New Roman"/>
          <w:szCs w:val="24"/>
        </w:rPr>
        <w:t xml:space="preserve">For the CalVets Disclosure Counsel Assignment, the firm’s clients will be both the STO and CalVet. </w:t>
      </w:r>
      <w:r w:rsidR="00901934" w:rsidRPr="004D6F3A">
        <w:rPr>
          <w:rFonts w:ascii="Times New Roman" w:hAnsi="Times New Roman"/>
          <w:szCs w:val="24"/>
        </w:rPr>
        <w:t>The scope of servic</w:t>
      </w:r>
      <w:bookmarkStart w:id="1" w:name="_Hlk131075050"/>
      <w:r w:rsidR="00901934" w:rsidRPr="004D6F3A">
        <w:rPr>
          <w:rFonts w:ascii="Times New Roman" w:hAnsi="Times New Roman"/>
          <w:szCs w:val="24"/>
        </w:rPr>
        <w:t xml:space="preserve">es for the </w:t>
      </w:r>
      <w:bookmarkEnd w:id="1"/>
      <w:r w:rsidR="006C41B2">
        <w:rPr>
          <w:rFonts w:ascii="Times New Roman" w:hAnsi="Times New Roman"/>
          <w:szCs w:val="24"/>
        </w:rPr>
        <w:t>CalVets</w:t>
      </w:r>
      <w:r w:rsidR="00901934" w:rsidRPr="004D6F3A">
        <w:rPr>
          <w:rFonts w:ascii="Times New Roman" w:hAnsi="Times New Roman"/>
          <w:szCs w:val="24"/>
        </w:rPr>
        <w:t xml:space="preserve"> Disclosure Counsel Assignment will include, but will not be limited to, the following:</w:t>
      </w:r>
    </w:p>
    <w:p w14:paraId="66FAB88A" w14:textId="77777777" w:rsidR="00F66D1B" w:rsidRDefault="00F66D1B" w:rsidP="00977362">
      <w:pPr>
        <w:jc w:val="both"/>
      </w:pPr>
    </w:p>
    <w:p w14:paraId="451A1007" w14:textId="1968550B" w:rsidR="000048AF" w:rsidRPr="00F66D1B" w:rsidRDefault="000048AF" w:rsidP="000523A1">
      <w:pPr>
        <w:numPr>
          <w:ilvl w:val="1"/>
          <w:numId w:val="2"/>
        </w:numPr>
        <w:tabs>
          <w:tab w:val="clear" w:pos="1800"/>
        </w:tabs>
        <w:ind w:left="2160" w:hanging="720"/>
        <w:jc w:val="both"/>
      </w:pPr>
      <w:r w:rsidRPr="00F66D1B">
        <w:t>Preparing the preliminary and final official statements (excluding the State's Appendix A), including any supplements thereto;</w:t>
      </w:r>
    </w:p>
    <w:p w14:paraId="662FC112" w14:textId="77777777" w:rsidR="000048AF" w:rsidRPr="00F66D1B" w:rsidRDefault="000048AF" w:rsidP="000523A1">
      <w:pPr>
        <w:ind w:left="2160"/>
        <w:jc w:val="both"/>
      </w:pPr>
    </w:p>
    <w:p w14:paraId="13E5C080" w14:textId="52935838" w:rsidR="000048AF" w:rsidRPr="00F66D1B" w:rsidRDefault="000048AF" w:rsidP="000523A1">
      <w:pPr>
        <w:numPr>
          <w:ilvl w:val="1"/>
          <w:numId w:val="2"/>
        </w:numPr>
        <w:tabs>
          <w:tab w:val="clear" w:pos="1800"/>
        </w:tabs>
        <w:ind w:left="2160" w:hanging="720"/>
        <w:jc w:val="both"/>
      </w:pPr>
      <w:r w:rsidRPr="00F66D1B">
        <w:t xml:space="preserve">Preparing 15c2-12 certificates (Deemed Final Certificates) for the preliminary official </w:t>
      </w:r>
      <w:r w:rsidR="00AE11AB" w:rsidRPr="00F66D1B">
        <w:t>statement</w:t>
      </w:r>
      <w:r w:rsidR="003462E0">
        <w:t xml:space="preserve"> and reviewing other certificates prepared in connection with the preliminary and final official statement</w:t>
      </w:r>
      <w:r w:rsidRPr="00F66D1B">
        <w:t>;</w:t>
      </w:r>
    </w:p>
    <w:p w14:paraId="231F9880" w14:textId="77777777" w:rsidR="000048AF" w:rsidRPr="00F66D1B" w:rsidRDefault="000048AF" w:rsidP="000523A1">
      <w:pPr>
        <w:ind w:left="2160"/>
        <w:jc w:val="both"/>
      </w:pPr>
    </w:p>
    <w:p w14:paraId="7016ADD0" w14:textId="79AC3249" w:rsidR="000048AF" w:rsidRPr="00F66D1B" w:rsidRDefault="00AE11AB" w:rsidP="000523A1">
      <w:pPr>
        <w:numPr>
          <w:ilvl w:val="1"/>
          <w:numId w:val="2"/>
        </w:numPr>
        <w:tabs>
          <w:tab w:val="clear" w:pos="1800"/>
        </w:tabs>
        <w:ind w:left="2160" w:hanging="720"/>
        <w:jc w:val="both"/>
      </w:pPr>
      <w:r>
        <w:t>Participating in</w:t>
      </w:r>
      <w:r w:rsidR="000048AF" w:rsidRPr="00F66D1B">
        <w:t xml:space="preserve"> all document review sessions;</w:t>
      </w:r>
    </w:p>
    <w:p w14:paraId="06DB629E" w14:textId="77777777" w:rsidR="000048AF" w:rsidRPr="00F66D1B" w:rsidRDefault="000048AF" w:rsidP="000523A1">
      <w:pPr>
        <w:ind w:left="2160"/>
        <w:jc w:val="both"/>
      </w:pPr>
    </w:p>
    <w:p w14:paraId="3116F10F" w14:textId="5E120178" w:rsidR="000048AF" w:rsidRPr="00F66D1B" w:rsidRDefault="000048AF" w:rsidP="000523A1">
      <w:pPr>
        <w:numPr>
          <w:ilvl w:val="1"/>
          <w:numId w:val="2"/>
        </w:numPr>
        <w:tabs>
          <w:tab w:val="clear" w:pos="1800"/>
        </w:tabs>
        <w:ind w:left="2160" w:hanging="720"/>
        <w:jc w:val="both"/>
      </w:pPr>
      <w:r w:rsidRPr="00F66D1B">
        <w:t>Preparing the continuing disclosure agreements;</w:t>
      </w:r>
    </w:p>
    <w:p w14:paraId="582AA6E3" w14:textId="73CF489C" w:rsidR="000048AF" w:rsidRPr="00F66D1B" w:rsidRDefault="000048AF" w:rsidP="000523A1">
      <w:pPr>
        <w:numPr>
          <w:ilvl w:val="1"/>
          <w:numId w:val="2"/>
        </w:numPr>
        <w:tabs>
          <w:tab w:val="clear" w:pos="1800"/>
        </w:tabs>
        <w:ind w:left="2160" w:hanging="720"/>
        <w:jc w:val="both"/>
      </w:pPr>
      <w:r w:rsidRPr="00F66D1B">
        <w:lastRenderedPageBreak/>
        <w:t>Providing advice on any applicable "blue sky" related issues;</w:t>
      </w:r>
    </w:p>
    <w:p w14:paraId="635A8CB2" w14:textId="77777777" w:rsidR="000048AF" w:rsidRPr="00F66D1B" w:rsidRDefault="000048AF" w:rsidP="000523A1">
      <w:pPr>
        <w:ind w:left="2160"/>
        <w:jc w:val="both"/>
      </w:pPr>
    </w:p>
    <w:p w14:paraId="017F0E1B" w14:textId="722177B6" w:rsidR="000048AF" w:rsidRPr="00F66D1B" w:rsidRDefault="000048AF" w:rsidP="000523A1">
      <w:pPr>
        <w:numPr>
          <w:ilvl w:val="1"/>
          <w:numId w:val="2"/>
        </w:numPr>
        <w:tabs>
          <w:tab w:val="clear" w:pos="1800"/>
        </w:tabs>
        <w:ind w:left="2160" w:hanging="720"/>
        <w:jc w:val="both"/>
      </w:pPr>
      <w:r w:rsidRPr="00F66D1B">
        <w:t>Meeting with and participating in calls with rating agencies</w:t>
      </w:r>
      <w:r w:rsidR="003462E0">
        <w:t xml:space="preserve"> and</w:t>
      </w:r>
      <w:r w:rsidRPr="00F66D1B">
        <w:t xml:space="preserve"> investors, as </w:t>
      </w:r>
      <w:r w:rsidR="00AE11AB" w:rsidRPr="00F66D1B">
        <w:t>required</w:t>
      </w:r>
      <w:r w:rsidRPr="00F66D1B">
        <w:t>;</w:t>
      </w:r>
    </w:p>
    <w:p w14:paraId="09E91F11" w14:textId="77777777" w:rsidR="000048AF" w:rsidRPr="00F66D1B" w:rsidRDefault="000048AF" w:rsidP="000523A1">
      <w:pPr>
        <w:ind w:left="2160"/>
        <w:jc w:val="both"/>
      </w:pPr>
    </w:p>
    <w:p w14:paraId="575771EF" w14:textId="08FA88D1" w:rsidR="000048AF" w:rsidRPr="00F66D1B" w:rsidRDefault="000048AF" w:rsidP="000523A1">
      <w:pPr>
        <w:numPr>
          <w:ilvl w:val="1"/>
          <w:numId w:val="2"/>
        </w:numPr>
        <w:tabs>
          <w:tab w:val="clear" w:pos="1800"/>
        </w:tabs>
        <w:ind w:left="2160" w:hanging="720"/>
        <w:jc w:val="both"/>
      </w:pPr>
      <w:r w:rsidRPr="00F66D1B">
        <w:t>Providing a "10b-5" letter on the preliminary official statement and the final official statement (excluding</w:t>
      </w:r>
      <w:r w:rsidR="006C41B2">
        <w:t xml:space="preserve"> the State’s</w:t>
      </w:r>
      <w:r w:rsidRPr="00F66D1B">
        <w:t xml:space="preserve"> Appendix A);</w:t>
      </w:r>
    </w:p>
    <w:p w14:paraId="2910DB03" w14:textId="77777777" w:rsidR="000048AF" w:rsidRPr="00F66D1B" w:rsidRDefault="000048AF" w:rsidP="000523A1">
      <w:pPr>
        <w:ind w:leftChars="1440" w:left="4176" w:hanging="720"/>
        <w:jc w:val="both"/>
      </w:pPr>
    </w:p>
    <w:p w14:paraId="2CF0102C" w14:textId="0E5F6B9B" w:rsidR="005E418E" w:rsidRPr="00F66D1B" w:rsidRDefault="000048AF" w:rsidP="000523A1">
      <w:pPr>
        <w:numPr>
          <w:ilvl w:val="1"/>
          <w:numId w:val="2"/>
        </w:numPr>
        <w:tabs>
          <w:tab w:val="clear" w:pos="1800"/>
        </w:tabs>
        <w:ind w:left="2160" w:hanging="720"/>
        <w:jc w:val="both"/>
      </w:pPr>
      <w:r w:rsidRPr="00F66D1B">
        <w:t>Preparing or assisting with the preparation of the notice of sale for competitive bond offerings, as necessary;</w:t>
      </w:r>
    </w:p>
    <w:p w14:paraId="1F10981A" w14:textId="77777777" w:rsidR="00F66D1B" w:rsidRPr="00F66D1B" w:rsidRDefault="00F66D1B" w:rsidP="000523A1">
      <w:pPr>
        <w:ind w:left="2160"/>
        <w:jc w:val="both"/>
      </w:pPr>
    </w:p>
    <w:p w14:paraId="3D8A710A" w14:textId="7DAFDD31" w:rsidR="000048AF" w:rsidRPr="00F66D1B" w:rsidRDefault="000048AF" w:rsidP="000523A1">
      <w:pPr>
        <w:numPr>
          <w:ilvl w:val="1"/>
          <w:numId w:val="2"/>
        </w:numPr>
        <w:tabs>
          <w:tab w:val="clear" w:pos="1800"/>
        </w:tabs>
        <w:ind w:left="2160" w:hanging="720"/>
        <w:jc w:val="both"/>
      </w:pPr>
      <w:r w:rsidRPr="00F66D1B">
        <w:t>Preparing and commenting on, as necessary, legal documents for the financing, resolutions, escrow agreements, closing documents and transcripts, and tax certificates,</w:t>
      </w:r>
      <w:r w:rsidR="00452AAB">
        <w:t xml:space="preserve"> </w:t>
      </w:r>
      <w:r w:rsidR="00AE11AB" w:rsidRPr="00F66D1B">
        <w:t>etc</w:t>
      </w:r>
      <w:r w:rsidR="00ED3D09">
        <w:t>.</w:t>
      </w:r>
      <w:r w:rsidR="0078678C">
        <w:t>;</w:t>
      </w:r>
    </w:p>
    <w:p w14:paraId="235A4692" w14:textId="77777777" w:rsidR="000048AF" w:rsidRPr="000523A1" w:rsidRDefault="000048AF" w:rsidP="000523A1">
      <w:pPr>
        <w:ind w:left="2160"/>
        <w:jc w:val="both"/>
      </w:pPr>
    </w:p>
    <w:p w14:paraId="031F5DDC" w14:textId="5EC5905E" w:rsidR="000048AF" w:rsidRPr="00F66D1B" w:rsidRDefault="000048AF" w:rsidP="000523A1">
      <w:pPr>
        <w:numPr>
          <w:ilvl w:val="1"/>
          <w:numId w:val="2"/>
        </w:numPr>
        <w:tabs>
          <w:tab w:val="clear" w:pos="1800"/>
        </w:tabs>
        <w:ind w:left="2160" w:hanging="720"/>
        <w:jc w:val="both"/>
      </w:pPr>
      <w:r w:rsidRPr="00F66D1B">
        <w:t>Acting as the liaison to the electronic document service provider (printer);</w:t>
      </w:r>
    </w:p>
    <w:p w14:paraId="19A91922" w14:textId="77777777" w:rsidR="000048AF" w:rsidRPr="000523A1" w:rsidRDefault="000048AF" w:rsidP="000523A1">
      <w:pPr>
        <w:ind w:left="2160"/>
        <w:jc w:val="both"/>
      </w:pPr>
    </w:p>
    <w:p w14:paraId="65607080" w14:textId="5C4051D2" w:rsidR="000048AF" w:rsidRPr="00F66D1B" w:rsidRDefault="000048AF" w:rsidP="000523A1">
      <w:pPr>
        <w:numPr>
          <w:ilvl w:val="1"/>
          <w:numId w:val="2"/>
        </w:numPr>
        <w:tabs>
          <w:tab w:val="clear" w:pos="1800"/>
        </w:tabs>
        <w:ind w:left="2160" w:hanging="720"/>
        <w:jc w:val="both"/>
      </w:pPr>
      <w:r w:rsidRPr="00F66D1B">
        <w:t>Coordinating the sign off and electronic distribution of the preliminary and final official statement;</w:t>
      </w:r>
    </w:p>
    <w:p w14:paraId="2A7B5EB4" w14:textId="77777777" w:rsidR="000048AF" w:rsidRPr="000523A1" w:rsidRDefault="000048AF" w:rsidP="000523A1">
      <w:pPr>
        <w:ind w:left="2160"/>
        <w:jc w:val="both"/>
      </w:pPr>
    </w:p>
    <w:p w14:paraId="3FC8C574" w14:textId="2A8FBFCE" w:rsidR="000048AF" w:rsidRPr="000523A1" w:rsidRDefault="000048AF" w:rsidP="000523A1">
      <w:pPr>
        <w:numPr>
          <w:ilvl w:val="1"/>
          <w:numId w:val="2"/>
        </w:numPr>
        <w:tabs>
          <w:tab w:val="clear" w:pos="1800"/>
        </w:tabs>
        <w:ind w:left="2160" w:hanging="720"/>
        <w:jc w:val="both"/>
      </w:pPr>
      <w:r w:rsidRPr="000523A1">
        <w:t xml:space="preserve">Keeping the STO and </w:t>
      </w:r>
      <w:r w:rsidR="006C41B2">
        <w:t xml:space="preserve">CalVet </w:t>
      </w:r>
      <w:r w:rsidRPr="000523A1">
        <w:t>informed of “best practices” in disclosure;</w:t>
      </w:r>
    </w:p>
    <w:p w14:paraId="6E1D51A4" w14:textId="77777777" w:rsidR="000048AF" w:rsidRPr="000523A1" w:rsidRDefault="000048AF" w:rsidP="000523A1">
      <w:pPr>
        <w:ind w:left="2160"/>
        <w:jc w:val="both"/>
      </w:pPr>
    </w:p>
    <w:p w14:paraId="144BD3A7" w14:textId="67BE057E" w:rsidR="000048AF" w:rsidRPr="00F66D1B" w:rsidRDefault="000048AF" w:rsidP="000523A1">
      <w:pPr>
        <w:numPr>
          <w:ilvl w:val="1"/>
          <w:numId w:val="2"/>
        </w:numPr>
        <w:tabs>
          <w:tab w:val="clear" w:pos="1800"/>
        </w:tabs>
        <w:ind w:left="2160" w:hanging="720"/>
        <w:jc w:val="both"/>
      </w:pPr>
      <w:r w:rsidRPr="00F66D1B">
        <w:t>Providing on-going legal advice as needed in areas of disclosure; and</w:t>
      </w:r>
    </w:p>
    <w:p w14:paraId="1917AE1F" w14:textId="77777777" w:rsidR="00F66D1B" w:rsidRPr="000523A1" w:rsidRDefault="00F66D1B" w:rsidP="000523A1">
      <w:pPr>
        <w:ind w:left="2160"/>
        <w:jc w:val="both"/>
      </w:pPr>
    </w:p>
    <w:p w14:paraId="0386274E" w14:textId="7FE5B3CC" w:rsidR="000048AF" w:rsidRPr="00F66D1B" w:rsidRDefault="000048AF" w:rsidP="000523A1">
      <w:pPr>
        <w:numPr>
          <w:ilvl w:val="1"/>
          <w:numId w:val="2"/>
        </w:numPr>
        <w:tabs>
          <w:tab w:val="clear" w:pos="1800"/>
        </w:tabs>
        <w:ind w:left="2160" w:hanging="720"/>
        <w:jc w:val="both"/>
      </w:pPr>
      <w:r w:rsidRPr="00F66D1B">
        <w:t xml:space="preserve">Providing training on disclosure related matters to STO and </w:t>
      </w:r>
      <w:r w:rsidR="006C41B2">
        <w:t xml:space="preserve">CalVet </w:t>
      </w:r>
      <w:r w:rsidRPr="00F66D1B">
        <w:t>personnel, as requested.</w:t>
      </w:r>
    </w:p>
    <w:p w14:paraId="34968983" w14:textId="77777777" w:rsidR="004474C5" w:rsidRPr="000523A1" w:rsidRDefault="004474C5" w:rsidP="000523A1">
      <w:pPr>
        <w:ind w:left="1440"/>
        <w:jc w:val="both"/>
        <w:rPr>
          <w:b/>
        </w:rPr>
      </w:pPr>
    </w:p>
    <w:p w14:paraId="7F4FCE1D" w14:textId="77777777" w:rsidR="000048AF" w:rsidRPr="004D6F3A" w:rsidRDefault="000048AF" w:rsidP="00977362">
      <w:pPr>
        <w:jc w:val="both"/>
      </w:pPr>
    </w:p>
    <w:p w14:paraId="29FD7315" w14:textId="77777777" w:rsidR="00EC17B0" w:rsidRPr="004D6F3A" w:rsidRDefault="00EC17B0" w:rsidP="00066332">
      <w:pPr>
        <w:pStyle w:val="Heading4"/>
        <w:numPr>
          <w:ilvl w:val="0"/>
          <w:numId w:val="48"/>
        </w:numPr>
        <w:rPr>
          <w:rFonts w:ascii="Times New Roman" w:hAnsi="Times New Roman"/>
          <w:u w:val="single"/>
        </w:rPr>
      </w:pPr>
      <w:r w:rsidRPr="004D6F3A">
        <w:rPr>
          <w:rFonts w:ascii="Times New Roman" w:hAnsi="Times New Roman"/>
          <w:u w:val="single"/>
        </w:rPr>
        <w:t>MINIMUM QUALIFICATIONS</w:t>
      </w:r>
    </w:p>
    <w:p w14:paraId="7B34B0E3" w14:textId="77777777" w:rsidR="00EC17B0" w:rsidRPr="004D6F3A" w:rsidRDefault="00EC17B0" w:rsidP="00E40764"/>
    <w:p w14:paraId="2F72E083" w14:textId="77777777" w:rsidR="00EC17B0" w:rsidRPr="004D6F3A" w:rsidRDefault="00401141" w:rsidP="00EB7A07">
      <w:pPr>
        <w:pStyle w:val="ListParagraph"/>
        <w:numPr>
          <w:ilvl w:val="0"/>
          <w:numId w:val="49"/>
        </w:numPr>
        <w:ind w:left="1440" w:hanging="720"/>
        <w:jc w:val="both"/>
        <w:rPr>
          <w:b/>
        </w:rPr>
      </w:pPr>
      <w:r w:rsidRPr="004D6F3A">
        <w:rPr>
          <w:b/>
        </w:rPr>
        <w:t>ALL ASSIGNMENTS</w:t>
      </w:r>
    </w:p>
    <w:p w14:paraId="651BD8BB" w14:textId="77777777" w:rsidR="00EC17B0" w:rsidRPr="004D6F3A" w:rsidRDefault="00EC17B0" w:rsidP="00EC17B0">
      <w:pPr>
        <w:ind w:left="720"/>
      </w:pPr>
    </w:p>
    <w:p w14:paraId="78566149" w14:textId="77777777" w:rsidR="00EC17B0" w:rsidRPr="004D6F3A" w:rsidRDefault="00444037" w:rsidP="00EB7A07">
      <w:pPr>
        <w:pStyle w:val="ListParagraph"/>
        <w:numPr>
          <w:ilvl w:val="0"/>
          <w:numId w:val="50"/>
        </w:numPr>
        <w:ind w:left="2160" w:hanging="720"/>
        <w:jc w:val="both"/>
      </w:pPr>
      <w:r w:rsidRPr="004D6F3A">
        <w:rPr>
          <w:b/>
        </w:rPr>
        <w:t>STO Bond Counsel Pool Member:</w:t>
      </w:r>
      <w:r w:rsidRPr="004D6F3A">
        <w:t xml:space="preserve">  </w:t>
      </w:r>
      <w:r w:rsidR="00EC17B0" w:rsidRPr="004D6F3A">
        <w:t>The firm must be a current member of the STO’s Bond C</w:t>
      </w:r>
      <w:r w:rsidR="002E0B80" w:rsidRPr="004D6F3A">
        <w:t xml:space="preserve">ounsel Pool in good standing. </w:t>
      </w:r>
    </w:p>
    <w:p w14:paraId="24DF282E" w14:textId="77777777" w:rsidR="00444037" w:rsidRPr="004D6F3A" w:rsidRDefault="00444037" w:rsidP="00066332">
      <w:pPr>
        <w:ind w:left="2160" w:hanging="720"/>
        <w:jc w:val="both"/>
      </w:pPr>
    </w:p>
    <w:p w14:paraId="20152D87" w14:textId="3DFBE8AE" w:rsidR="00444037" w:rsidRPr="004D6F3A" w:rsidRDefault="00444037" w:rsidP="009B3954">
      <w:pPr>
        <w:pStyle w:val="ListParagraph"/>
        <w:numPr>
          <w:ilvl w:val="0"/>
          <w:numId w:val="50"/>
        </w:numPr>
        <w:ind w:left="2160" w:hanging="720"/>
        <w:jc w:val="both"/>
      </w:pPr>
      <w:r w:rsidRPr="004D6F3A">
        <w:rPr>
          <w:b/>
        </w:rPr>
        <w:t xml:space="preserve">Compliance </w:t>
      </w:r>
      <w:r w:rsidR="006328E1" w:rsidRPr="004D6F3A">
        <w:rPr>
          <w:b/>
        </w:rPr>
        <w:t>with</w:t>
      </w:r>
      <w:r w:rsidRPr="004D6F3A">
        <w:rPr>
          <w:b/>
        </w:rPr>
        <w:t xml:space="preserve"> Political Reform Act:</w:t>
      </w:r>
      <w:r w:rsidRPr="004D6F3A">
        <w:t xml:space="preserve">  Principals at the firm engaged for each assignment will be required to comply with the Political Reform Act and complete the Statement of Economic Interests (Form 700) </w:t>
      </w:r>
      <w:r w:rsidR="009B3954" w:rsidRPr="004D6F3A">
        <w:t>within 30 days of</w:t>
      </w:r>
      <w:r w:rsidRPr="004D6F3A">
        <w:t xml:space="preserve"> executing the contract with the STO</w:t>
      </w:r>
      <w:r w:rsidR="009B3954" w:rsidRPr="004D6F3A">
        <w:t xml:space="preserve"> and annually each calendar year</w:t>
      </w:r>
      <w:r w:rsidR="006C41B2">
        <w:t xml:space="preserve"> during the term</w:t>
      </w:r>
      <w:r w:rsidR="009B3954" w:rsidRPr="004D6F3A">
        <w:t xml:space="preserve"> of the contract</w:t>
      </w:r>
      <w:r w:rsidRPr="004D6F3A">
        <w:t xml:space="preserve">.  For more information, </w:t>
      </w:r>
      <w:r w:rsidR="009B3954" w:rsidRPr="004D6F3A">
        <w:t>please visit the Fair Political Practice Commission website at</w:t>
      </w:r>
      <w:r w:rsidRPr="004D6F3A">
        <w:t xml:space="preserve"> </w:t>
      </w:r>
      <w:hyperlink r:id="rId14" w:history="1">
        <w:r w:rsidR="009B3954" w:rsidRPr="004D6F3A">
          <w:rPr>
            <w:rStyle w:val="Hyperlink"/>
          </w:rPr>
          <w:t>http://www.fppc.ca.gov/Form700.html</w:t>
        </w:r>
      </w:hyperlink>
      <w:r w:rsidR="009B3954" w:rsidRPr="004D6F3A">
        <w:t>.</w:t>
      </w:r>
    </w:p>
    <w:p w14:paraId="67804C16" w14:textId="77777777" w:rsidR="00EC17B0" w:rsidRPr="004D6F3A" w:rsidRDefault="00EC17B0" w:rsidP="00F34E5C">
      <w:pPr>
        <w:pStyle w:val="ListParagraph"/>
        <w:ind w:left="1440"/>
        <w:jc w:val="both"/>
        <w:rPr>
          <w:b/>
        </w:rPr>
      </w:pPr>
    </w:p>
    <w:p w14:paraId="2EBE4C8B" w14:textId="77777777" w:rsidR="00A66797" w:rsidRDefault="00A66797">
      <w:pPr>
        <w:rPr>
          <w:b/>
        </w:rPr>
      </w:pPr>
      <w:r>
        <w:rPr>
          <w:b/>
        </w:rPr>
        <w:br w:type="page"/>
      </w:r>
    </w:p>
    <w:p w14:paraId="3FF3E31A" w14:textId="4794B3B0" w:rsidR="00EC17B0" w:rsidRPr="004D6F3A" w:rsidRDefault="00401141" w:rsidP="00EB7A07">
      <w:pPr>
        <w:pStyle w:val="ListParagraph"/>
        <w:numPr>
          <w:ilvl w:val="0"/>
          <w:numId w:val="49"/>
        </w:numPr>
        <w:ind w:left="1440" w:hanging="720"/>
        <w:jc w:val="both"/>
        <w:rPr>
          <w:b/>
        </w:rPr>
      </w:pPr>
      <w:r w:rsidRPr="004D6F3A">
        <w:rPr>
          <w:b/>
        </w:rPr>
        <w:lastRenderedPageBreak/>
        <w:t>FOR THE GO/RAN BOND COUNSEL ASSIGNMENT, THE FOLLOWING ADDITIONAL MINIMUM QUALIFICATION IS REQUIRED</w:t>
      </w:r>
    </w:p>
    <w:p w14:paraId="0A5C20A2" w14:textId="2A2F9112" w:rsidR="00EC17B0" w:rsidRPr="004D6F3A" w:rsidRDefault="00EC17B0" w:rsidP="00EB7A07">
      <w:pPr>
        <w:pStyle w:val="Heading5"/>
        <w:keepNext w:val="0"/>
        <w:widowControl w:val="0"/>
        <w:numPr>
          <w:ilvl w:val="0"/>
          <w:numId w:val="0"/>
        </w:numPr>
        <w:ind w:left="1440"/>
        <w:jc w:val="both"/>
        <w:rPr>
          <w:rFonts w:ascii="Times New Roman" w:hAnsi="Times New Roman"/>
          <w:b w:val="0"/>
        </w:rPr>
      </w:pPr>
      <w:r w:rsidRPr="004D6F3A">
        <w:rPr>
          <w:rFonts w:ascii="Times New Roman" w:hAnsi="Times New Roman"/>
          <w:b w:val="0"/>
        </w:rPr>
        <w:t>The firm must have served as lead bond counsel on a general obligation bond issue of at least $</w:t>
      </w:r>
      <w:r w:rsidR="00CB2C18" w:rsidRPr="004D6F3A">
        <w:rPr>
          <w:rFonts w:ascii="Times New Roman" w:hAnsi="Times New Roman"/>
          <w:b w:val="0"/>
        </w:rPr>
        <w:t>2</w:t>
      </w:r>
      <w:r w:rsidRPr="004D6F3A">
        <w:rPr>
          <w:rFonts w:ascii="Times New Roman" w:hAnsi="Times New Roman"/>
          <w:b w:val="0"/>
        </w:rPr>
        <w:t>00 million for a California publi</w:t>
      </w:r>
      <w:r w:rsidR="00E8231C" w:rsidRPr="004D6F3A">
        <w:rPr>
          <w:rFonts w:ascii="Times New Roman" w:hAnsi="Times New Roman"/>
          <w:b w:val="0"/>
        </w:rPr>
        <w:t xml:space="preserve">c </w:t>
      </w:r>
      <w:r w:rsidR="00E8231C" w:rsidRPr="00325DA1">
        <w:rPr>
          <w:rFonts w:ascii="Times New Roman" w:hAnsi="Times New Roman"/>
          <w:b w:val="0"/>
        </w:rPr>
        <w:t xml:space="preserve">agency since January 1, </w:t>
      </w:r>
      <w:r w:rsidR="00031FB3" w:rsidRPr="00325DA1">
        <w:rPr>
          <w:rFonts w:ascii="Times New Roman" w:hAnsi="Times New Roman"/>
          <w:b w:val="0"/>
        </w:rPr>
        <w:t>201</w:t>
      </w:r>
      <w:r w:rsidR="001C781F" w:rsidRPr="00325DA1">
        <w:rPr>
          <w:rFonts w:ascii="Times New Roman" w:hAnsi="Times New Roman"/>
          <w:b w:val="0"/>
        </w:rPr>
        <w:t>9</w:t>
      </w:r>
      <w:r w:rsidR="00BD008E" w:rsidRPr="00F47E50">
        <w:rPr>
          <w:rFonts w:ascii="Times New Roman" w:hAnsi="Times New Roman"/>
          <w:b w:val="0"/>
        </w:rPr>
        <w:t>.</w:t>
      </w:r>
    </w:p>
    <w:p w14:paraId="0B5CA592" w14:textId="77777777" w:rsidR="00EC17B0" w:rsidRPr="004D6F3A" w:rsidRDefault="00EC17B0" w:rsidP="00F34E5C">
      <w:pPr>
        <w:ind w:left="1440"/>
        <w:jc w:val="both"/>
      </w:pPr>
    </w:p>
    <w:p w14:paraId="7C4886C9" w14:textId="77777777" w:rsidR="00EC17B0" w:rsidRPr="004D6F3A" w:rsidRDefault="00401141" w:rsidP="00066332">
      <w:pPr>
        <w:pStyle w:val="ListParagraph"/>
        <w:numPr>
          <w:ilvl w:val="0"/>
          <w:numId w:val="49"/>
        </w:numPr>
        <w:ind w:left="1440" w:hanging="720"/>
        <w:jc w:val="both"/>
        <w:rPr>
          <w:b/>
        </w:rPr>
      </w:pPr>
      <w:r w:rsidRPr="004D6F3A">
        <w:rPr>
          <w:b/>
        </w:rPr>
        <w:t>FOR THE GO DISCLOSURE COUNSEL ASSIGNMENT, THE FOLLOWING ADDITIONAL MINIMUM QUALIFICATION IS REQUIRED</w:t>
      </w:r>
    </w:p>
    <w:p w14:paraId="0567C86E" w14:textId="794DADBF" w:rsidR="00EC17B0" w:rsidRPr="004D6F3A" w:rsidRDefault="00EC17B0" w:rsidP="00066332">
      <w:pPr>
        <w:ind w:left="1440"/>
        <w:jc w:val="both"/>
      </w:pPr>
      <w:r w:rsidRPr="004D6F3A">
        <w:t>The firm must have served as lead disclosure counsel on a mun</w:t>
      </w:r>
      <w:r w:rsidR="00E8231C" w:rsidRPr="004D6F3A">
        <w:t>icipal bond issue of at least $</w:t>
      </w:r>
      <w:r w:rsidR="00B671BA">
        <w:t>2</w:t>
      </w:r>
      <w:r w:rsidRPr="004D6F3A">
        <w:t xml:space="preserve">00 million </w:t>
      </w:r>
      <w:r w:rsidR="00CB2C18" w:rsidRPr="004D6F3A">
        <w:t xml:space="preserve">for a California public agency </w:t>
      </w:r>
      <w:r w:rsidRPr="00325DA1">
        <w:t xml:space="preserve">since January 1, </w:t>
      </w:r>
      <w:r w:rsidR="00031FB3" w:rsidRPr="00325DA1">
        <w:t>201</w:t>
      </w:r>
      <w:r w:rsidR="001C781F" w:rsidRPr="00325DA1">
        <w:t>9</w:t>
      </w:r>
      <w:r w:rsidR="000B5539" w:rsidRPr="00325DA1">
        <w:t>,</w:t>
      </w:r>
      <w:r w:rsidRPr="00325DA1">
        <w:t xml:space="preserve"> and served as on-going disclosure counsel </w:t>
      </w:r>
      <w:r w:rsidR="00194326" w:rsidRPr="00325DA1">
        <w:t>for</w:t>
      </w:r>
      <w:r w:rsidRPr="00325DA1">
        <w:t xml:space="preserve"> at least one </w:t>
      </w:r>
      <w:r w:rsidR="00FF002C" w:rsidRPr="00325DA1">
        <w:t xml:space="preserve">municipal </w:t>
      </w:r>
      <w:r w:rsidRPr="00325DA1">
        <w:t>issuer for a minimum of</w:t>
      </w:r>
      <w:r w:rsidR="00E8231C" w:rsidRPr="00325DA1">
        <w:t xml:space="preserve"> two </w:t>
      </w:r>
      <w:r w:rsidR="00CB2C18" w:rsidRPr="00325DA1">
        <w:t xml:space="preserve">consecutive </w:t>
      </w:r>
      <w:r w:rsidR="00E8231C" w:rsidRPr="00325DA1">
        <w:t xml:space="preserve">years since January 1, </w:t>
      </w:r>
      <w:r w:rsidR="00031FB3" w:rsidRPr="00325DA1">
        <w:t>201</w:t>
      </w:r>
      <w:r w:rsidR="001C781F" w:rsidRPr="00325DA1">
        <w:t>9</w:t>
      </w:r>
      <w:r w:rsidR="00BD008E" w:rsidRPr="00325DA1">
        <w:t>.</w:t>
      </w:r>
    </w:p>
    <w:p w14:paraId="7980DDBA" w14:textId="77777777" w:rsidR="00CB2C18" w:rsidRPr="004D6F3A" w:rsidRDefault="00CB2C18" w:rsidP="00C7211E">
      <w:pPr>
        <w:ind w:left="1080"/>
        <w:jc w:val="both"/>
      </w:pPr>
    </w:p>
    <w:p w14:paraId="5FC72A7F" w14:textId="77777777" w:rsidR="00CB2C18" w:rsidRPr="004D6F3A" w:rsidRDefault="00401141" w:rsidP="00066332">
      <w:pPr>
        <w:pStyle w:val="ListParagraph"/>
        <w:numPr>
          <w:ilvl w:val="0"/>
          <w:numId w:val="49"/>
        </w:numPr>
        <w:ind w:left="1440" w:hanging="720"/>
        <w:jc w:val="both"/>
        <w:rPr>
          <w:b/>
        </w:rPr>
      </w:pPr>
      <w:r w:rsidRPr="004D6F3A">
        <w:rPr>
          <w:b/>
        </w:rPr>
        <w:t>FOR THE APPENDIX A DISCLOSURE COUNSEL ASSIGNMENT, THE FOLLOWING ADDITIONAL MINIMUM QUALIFICATION IS REQUIRED</w:t>
      </w:r>
    </w:p>
    <w:p w14:paraId="74696C75" w14:textId="0F0CB75E" w:rsidR="00F454CC" w:rsidRDefault="00CB2C18" w:rsidP="000048AF">
      <w:pPr>
        <w:ind w:left="1440"/>
        <w:jc w:val="both"/>
      </w:pPr>
      <w:bookmarkStart w:id="2" w:name="_Hlk127185678"/>
      <w:r w:rsidRPr="004D6F3A">
        <w:t xml:space="preserve">The firm must have served as lead disclosure counsel on a municipal bond issue of at </w:t>
      </w:r>
      <w:r w:rsidRPr="00B671BA">
        <w:t>least $200</w:t>
      </w:r>
      <w:r w:rsidRPr="004D6F3A">
        <w:t xml:space="preserve"> million for a California public </w:t>
      </w:r>
      <w:r w:rsidRPr="00325DA1">
        <w:t xml:space="preserve">agency since January 1, </w:t>
      </w:r>
      <w:r w:rsidR="00031FB3" w:rsidRPr="00325DA1">
        <w:t>201</w:t>
      </w:r>
      <w:r w:rsidR="001C781F" w:rsidRPr="00325DA1">
        <w:t>9</w:t>
      </w:r>
      <w:r w:rsidR="000B5539" w:rsidRPr="00325DA1">
        <w:t>,</w:t>
      </w:r>
      <w:r w:rsidRPr="00325DA1">
        <w:t xml:space="preserve"> and served as on-going disclosure counsel for at least one municipal issuer for a minimum of two consecutive years since January 1, </w:t>
      </w:r>
      <w:r w:rsidR="00031FB3" w:rsidRPr="00325DA1">
        <w:t>201</w:t>
      </w:r>
      <w:r w:rsidR="001C781F" w:rsidRPr="00325DA1">
        <w:t>9</w:t>
      </w:r>
      <w:r w:rsidRPr="00325DA1">
        <w:t>.</w:t>
      </w:r>
      <w:bookmarkEnd w:id="2"/>
    </w:p>
    <w:p w14:paraId="25B2A4F9" w14:textId="77777777" w:rsidR="00F454CC" w:rsidRDefault="00F454CC" w:rsidP="00E73EA8">
      <w:pPr>
        <w:ind w:left="1440"/>
        <w:jc w:val="both"/>
      </w:pPr>
    </w:p>
    <w:p w14:paraId="4A82406E" w14:textId="71917CB0" w:rsidR="00F454CC" w:rsidRPr="000523A1" w:rsidRDefault="00F454CC" w:rsidP="00F454CC">
      <w:pPr>
        <w:pStyle w:val="ListParagraph"/>
        <w:numPr>
          <w:ilvl w:val="0"/>
          <w:numId w:val="49"/>
        </w:numPr>
        <w:ind w:left="1440" w:hanging="720"/>
        <w:jc w:val="both"/>
      </w:pPr>
      <w:r w:rsidRPr="004D6F3A">
        <w:rPr>
          <w:b/>
        </w:rPr>
        <w:t xml:space="preserve">FOR </w:t>
      </w:r>
      <w:r w:rsidR="006C41B2">
        <w:rPr>
          <w:b/>
        </w:rPr>
        <w:t xml:space="preserve">THE CALVETS </w:t>
      </w:r>
      <w:r>
        <w:rPr>
          <w:b/>
        </w:rPr>
        <w:t>DISCLOSURE COUNSEL ASSIG</w:t>
      </w:r>
      <w:r w:rsidR="00B2606E">
        <w:rPr>
          <w:b/>
        </w:rPr>
        <w:t>N</w:t>
      </w:r>
      <w:r>
        <w:rPr>
          <w:b/>
        </w:rPr>
        <w:t>MENT, THE FOLLOWING ADDITIONAL MINIMUM QUALIFICATION</w:t>
      </w:r>
      <w:r w:rsidR="004F2C7F">
        <w:rPr>
          <w:b/>
        </w:rPr>
        <w:t xml:space="preserve"> </w:t>
      </w:r>
      <w:r>
        <w:rPr>
          <w:b/>
        </w:rPr>
        <w:t>IS REQUIRED</w:t>
      </w:r>
    </w:p>
    <w:p w14:paraId="3D4FD23F" w14:textId="656135B0" w:rsidR="00F454CC" w:rsidRDefault="00F454CC" w:rsidP="000523A1">
      <w:pPr>
        <w:pStyle w:val="ListParagraph"/>
        <w:ind w:left="1440"/>
        <w:jc w:val="both"/>
      </w:pPr>
      <w:r w:rsidRPr="004D6F3A">
        <w:t xml:space="preserve">The firm must have served as lead disclosure counsel on a municipal bond issue of at </w:t>
      </w:r>
      <w:r w:rsidRPr="005D13BA">
        <w:t xml:space="preserve">least </w:t>
      </w:r>
      <w:r w:rsidRPr="00B671BA">
        <w:t>$</w:t>
      </w:r>
      <w:r w:rsidR="00B671BA" w:rsidRPr="000523A1">
        <w:t>75</w:t>
      </w:r>
      <w:r w:rsidRPr="005D13BA">
        <w:t xml:space="preserve"> million</w:t>
      </w:r>
      <w:r w:rsidRPr="004D6F3A">
        <w:t xml:space="preserve"> for a </w:t>
      </w:r>
      <w:r w:rsidR="00B2606E">
        <w:t xml:space="preserve">single family or veterans housing bond issuer </w:t>
      </w:r>
      <w:r w:rsidRPr="004D6F3A">
        <w:t>since January 1, 20</w:t>
      </w:r>
      <w:r w:rsidR="00F47E50">
        <w:t>19</w:t>
      </w:r>
      <w:r w:rsidRPr="004D6F3A">
        <w:t>, and served as on-going disclosure counsel for at least one municipal issuer for a minimum of two consecutive years since January 1, 20</w:t>
      </w:r>
      <w:r w:rsidR="004F2C7F">
        <w:t>19</w:t>
      </w:r>
      <w:r w:rsidRPr="004D6F3A">
        <w:t>.</w:t>
      </w:r>
    </w:p>
    <w:p w14:paraId="44610190" w14:textId="5D55845E" w:rsidR="00EB7A07" w:rsidRDefault="00EB7A07">
      <w:pPr>
        <w:rPr>
          <w:u w:val="single"/>
        </w:rPr>
      </w:pPr>
    </w:p>
    <w:p w14:paraId="425151E0" w14:textId="77777777" w:rsidR="00870445" w:rsidRPr="004D6F3A" w:rsidRDefault="00870445" w:rsidP="008517C6"/>
    <w:p w14:paraId="44BEE627" w14:textId="77777777" w:rsidR="0007214F" w:rsidRPr="004D6F3A" w:rsidRDefault="002C0EBF" w:rsidP="00066332">
      <w:pPr>
        <w:pStyle w:val="Heading4"/>
        <w:numPr>
          <w:ilvl w:val="0"/>
          <w:numId w:val="48"/>
        </w:numPr>
        <w:rPr>
          <w:rFonts w:ascii="Times New Roman" w:hAnsi="Times New Roman"/>
          <w:u w:val="single"/>
        </w:rPr>
      </w:pPr>
      <w:r w:rsidRPr="004D6F3A">
        <w:rPr>
          <w:rFonts w:ascii="Times New Roman" w:hAnsi="Times New Roman"/>
          <w:u w:val="single"/>
        </w:rPr>
        <w:t xml:space="preserve">CONTENT OF </w:t>
      </w:r>
      <w:r w:rsidR="00FE66C8" w:rsidRPr="004D6F3A">
        <w:rPr>
          <w:rFonts w:ascii="Times New Roman" w:hAnsi="Times New Roman"/>
          <w:u w:val="single"/>
        </w:rPr>
        <w:t xml:space="preserve">STATEMENT </w:t>
      </w:r>
      <w:r w:rsidR="00CD472E" w:rsidRPr="004D6F3A">
        <w:rPr>
          <w:rFonts w:ascii="Times New Roman" w:hAnsi="Times New Roman"/>
          <w:u w:val="single"/>
        </w:rPr>
        <w:t>OF QUALIFICATIONS</w:t>
      </w:r>
    </w:p>
    <w:p w14:paraId="6A902F98" w14:textId="30E7DB4A" w:rsidR="00CD472E" w:rsidRPr="004D6F3A" w:rsidRDefault="0018656F" w:rsidP="00B941AF">
      <w:pPr>
        <w:ind w:left="720"/>
        <w:jc w:val="both"/>
      </w:pPr>
      <w:r w:rsidRPr="004D6F3A">
        <w:t xml:space="preserve">Responses should be limited to </w:t>
      </w:r>
      <w:r w:rsidR="009D11C4" w:rsidRPr="004D6F3A">
        <w:t>fifteen (</w:t>
      </w:r>
      <w:r w:rsidR="00324580" w:rsidRPr="004D6F3A">
        <w:t>15</w:t>
      </w:r>
      <w:r w:rsidR="009D11C4" w:rsidRPr="004D6F3A">
        <w:t>)</w:t>
      </w:r>
      <w:r w:rsidRPr="004D6F3A">
        <w:t xml:space="preserve"> pages (excluding attachments and appendices)</w:t>
      </w:r>
      <w:r w:rsidR="00324580" w:rsidRPr="004D6F3A">
        <w:t xml:space="preserve"> for firms applying for one of the assignments</w:t>
      </w:r>
      <w:r w:rsidR="006C41B2">
        <w:t xml:space="preserve"> or </w:t>
      </w:r>
      <w:r w:rsidR="009D11C4" w:rsidRPr="004D6F3A">
        <w:t>twenty (</w:t>
      </w:r>
      <w:r w:rsidR="00324580" w:rsidRPr="004D6F3A">
        <w:t>20</w:t>
      </w:r>
      <w:r w:rsidR="009D11C4" w:rsidRPr="004D6F3A">
        <w:t>)</w:t>
      </w:r>
      <w:r w:rsidR="00324580" w:rsidRPr="004D6F3A">
        <w:t xml:space="preserve"> pages </w:t>
      </w:r>
      <w:r w:rsidR="00985D1E" w:rsidRPr="004D6F3A">
        <w:t>if</w:t>
      </w:r>
      <w:r w:rsidR="00324580" w:rsidRPr="004D6F3A">
        <w:t xml:space="preserve"> applying for two </w:t>
      </w:r>
      <w:r w:rsidR="006C41B2">
        <w:t>or more</w:t>
      </w:r>
      <w:r w:rsidR="00324580" w:rsidRPr="004D6F3A">
        <w:t xml:space="preserve"> assignments</w:t>
      </w:r>
      <w:r w:rsidR="006C41B2">
        <w:t>,</w:t>
      </w:r>
      <w:r w:rsidR="00324580" w:rsidRPr="004D6F3A">
        <w:t xml:space="preserve"> </w:t>
      </w:r>
      <w:r w:rsidRPr="004D6F3A">
        <w:t>using a font size of no less than 12</w:t>
      </w:r>
      <w:r w:rsidR="00870445" w:rsidRPr="004D6F3A">
        <w:t xml:space="preserve"> pitch</w:t>
      </w:r>
      <w:r w:rsidRPr="004D6F3A">
        <w:t xml:space="preserve">.  </w:t>
      </w:r>
      <w:r w:rsidR="009D11C4" w:rsidRPr="004D6F3A">
        <w:t xml:space="preserve">If a question does not apply to the firm or circumstances, please respond "not applicable." </w:t>
      </w:r>
      <w:r w:rsidRPr="004D6F3A">
        <w:t xml:space="preserve">Failure to provide all requested information or deviation from the required format </w:t>
      </w:r>
      <w:r w:rsidR="007A66A8" w:rsidRPr="004D6F3A">
        <w:t xml:space="preserve">will delay processing of the firm's SOQ and </w:t>
      </w:r>
      <w:r w:rsidRPr="004D6F3A">
        <w:t>may result in disqualification.  Address the following items in responding to this RFQ</w:t>
      </w:r>
      <w:r w:rsidR="00AB39D9" w:rsidRPr="004D6F3A">
        <w:t>:</w:t>
      </w:r>
    </w:p>
    <w:p w14:paraId="542EEBC2" w14:textId="174AFE39" w:rsidR="004F2C7F" w:rsidRDefault="004F2C7F">
      <w:pPr>
        <w:rPr>
          <w:b/>
          <w:bCs/>
        </w:rPr>
      </w:pPr>
    </w:p>
    <w:p w14:paraId="7599B263" w14:textId="7F1E9B0B" w:rsidR="000B675E" w:rsidRPr="004D6F3A" w:rsidRDefault="000B675E" w:rsidP="00B941AF">
      <w:pPr>
        <w:pStyle w:val="Heading5"/>
        <w:keepNext w:val="0"/>
        <w:widowControl w:val="0"/>
        <w:numPr>
          <w:ilvl w:val="0"/>
          <w:numId w:val="32"/>
        </w:numPr>
        <w:tabs>
          <w:tab w:val="clear" w:pos="6570"/>
        </w:tabs>
        <w:ind w:left="1440" w:hanging="720"/>
        <w:rPr>
          <w:rFonts w:ascii="Times New Roman" w:hAnsi="Times New Roman"/>
        </w:rPr>
      </w:pPr>
      <w:r w:rsidRPr="004D6F3A">
        <w:rPr>
          <w:rFonts w:ascii="Times New Roman" w:hAnsi="Times New Roman"/>
        </w:rPr>
        <w:t>COVER LETTER</w:t>
      </w:r>
    </w:p>
    <w:p w14:paraId="245D6F3C" w14:textId="4E0B7C89" w:rsidR="007A66A8" w:rsidRDefault="000B675E" w:rsidP="00B941AF">
      <w:pPr>
        <w:ind w:left="1440"/>
        <w:jc w:val="both"/>
      </w:pPr>
      <w:r w:rsidRPr="004D6F3A">
        <w:t>Submit a cover letter on the firm letter</w:t>
      </w:r>
      <w:r w:rsidR="00E8163B" w:rsidRPr="004D6F3A">
        <w:t>head</w:t>
      </w:r>
      <w:r w:rsidRPr="004D6F3A">
        <w:t xml:space="preserve">, signed by an authorized representative, highlighting the key points of </w:t>
      </w:r>
      <w:r w:rsidR="00C028D8" w:rsidRPr="004D6F3A">
        <w:t xml:space="preserve">the firm’s </w:t>
      </w:r>
      <w:r w:rsidRPr="004D6F3A">
        <w:t xml:space="preserve">proposal. </w:t>
      </w:r>
      <w:r w:rsidR="007A66A8" w:rsidRPr="004D6F3A">
        <w:t xml:space="preserve">The cover letter should not exceed </w:t>
      </w:r>
      <w:r w:rsidR="006C41B2">
        <w:t xml:space="preserve">one </w:t>
      </w:r>
      <w:r w:rsidR="007A66A8" w:rsidRPr="004D6F3A">
        <w:t xml:space="preserve">page.  </w:t>
      </w:r>
      <w:r w:rsidRPr="004D6F3A">
        <w:t xml:space="preserve">Please </w:t>
      </w:r>
      <w:r w:rsidR="00CE19E6" w:rsidRPr="004D6F3A">
        <w:t>indicate</w:t>
      </w:r>
      <w:r w:rsidR="0018656F" w:rsidRPr="004D6F3A">
        <w:t xml:space="preserve"> </w:t>
      </w:r>
      <w:r w:rsidR="001C4575" w:rsidRPr="004D6F3A">
        <w:t xml:space="preserve">to </w:t>
      </w:r>
      <w:r w:rsidR="0018656F" w:rsidRPr="004D6F3A">
        <w:t>which assignment</w:t>
      </w:r>
      <w:r w:rsidR="00273A41" w:rsidRPr="004D6F3A">
        <w:t>(s)</w:t>
      </w:r>
      <w:r w:rsidR="0018656F" w:rsidRPr="004D6F3A">
        <w:t xml:space="preserve"> the firm is applying:  </w:t>
      </w:r>
      <w:r w:rsidR="00325DA1">
        <w:t xml:space="preserve">GO/RAN Bond Counsel </w:t>
      </w:r>
      <w:r w:rsidR="006C41B2">
        <w:t>A</w:t>
      </w:r>
      <w:r w:rsidR="00325DA1">
        <w:t>ssignment, GO</w:t>
      </w:r>
      <w:r w:rsidR="005E2D20">
        <w:t xml:space="preserve"> Disclosure Counsel Assignment,</w:t>
      </w:r>
      <w:r w:rsidR="009332DE">
        <w:t xml:space="preserve"> </w:t>
      </w:r>
      <w:r w:rsidR="00325DA1">
        <w:t xml:space="preserve">Appendix A Disclosure Counsel </w:t>
      </w:r>
      <w:r w:rsidR="005E2D20">
        <w:t>A</w:t>
      </w:r>
      <w:r w:rsidR="00325DA1">
        <w:t xml:space="preserve">ssignment, </w:t>
      </w:r>
      <w:r w:rsidR="005E2D20">
        <w:t>and/</w:t>
      </w:r>
      <w:r w:rsidR="005D13BA">
        <w:t>or</w:t>
      </w:r>
      <w:r w:rsidR="00325DA1">
        <w:t xml:space="preserve"> CalVet Disclosure Counsel </w:t>
      </w:r>
      <w:r w:rsidR="005E2D20">
        <w:t>A</w:t>
      </w:r>
      <w:r w:rsidR="00325DA1">
        <w:t xml:space="preserve">ssignment. </w:t>
      </w:r>
    </w:p>
    <w:p w14:paraId="3DFC7615" w14:textId="77777777" w:rsidR="00FE66C8" w:rsidRPr="004D6F3A" w:rsidRDefault="00FE66C8" w:rsidP="000523A1">
      <w:pPr>
        <w:pStyle w:val="Heading5"/>
        <w:keepNext w:val="0"/>
        <w:widowControl w:val="0"/>
        <w:numPr>
          <w:ilvl w:val="0"/>
          <w:numId w:val="32"/>
        </w:numPr>
        <w:tabs>
          <w:tab w:val="clear" w:pos="6570"/>
        </w:tabs>
        <w:ind w:left="1440" w:hanging="720"/>
        <w:rPr>
          <w:rFonts w:ascii="Times New Roman" w:hAnsi="Times New Roman"/>
        </w:rPr>
      </w:pPr>
      <w:r w:rsidRPr="004D6F3A">
        <w:rPr>
          <w:rFonts w:ascii="Times New Roman" w:hAnsi="Times New Roman"/>
        </w:rPr>
        <w:lastRenderedPageBreak/>
        <w:t>MINIMUM QUALIFICATIONS</w:t>
      </w:r>
    </w:p>
    <w:p w14:paraId="194AD408" w14:textId="38618A5A" w:rsidR="00B941AF" w:rsidRDefault="00EC17B0" w:rsidP="00E73EA8">
      <w:pPr>
        <w:widowControl w:val="0"/>
        <w:ind w:left="1440"/>
        <w:jc w:val="both"/>
      </w:pPr>
      <w:r w:rsidRPr="004D6F3A">
        <w:t xml:space="preserve">Provide information on how </w:t>
      </w:r>
      <w:r w:rsidR="00C028D8" w:rsidRPr="004D6F3A">
        <w:t>the</w:t>
      </w:r>
      <w:r w:rsidRPr="004D6F3A">
        <w:t xml:space="preserve"> firm meets the Minimum Qualifications</w:t>
      </w:r>
      <w:r w:rsidR="007A66A8" w:rsidRPr="004D6F3A">
        <w:t>, as described in section IV. MINIMUM QUALIFICATIONS,</w:t>
      </w:r>
      <w:r w:rsidRPr="004D6F3A">
        <w:t xml:space="preserve"> for </w:t>
      </w:r>
      <w:r w:rsidR="00530F70" w:rsidRPr="004D6F3A">
        <w:t xml:space="preserve">the </w:t>
      </w:r>
      <w:r w:rsidR="007102BA" w:rsidRPr="004D6F3A">
        <w:t>assignment</w:t>
      </w:r>
      <w:r w:rsidR="00714D4D" w:rsidRPr="004D6F3A">
        <w:t>(s)</w:t>
      </w:r>
      <w:r w:rsidR="007102BA" w:rsidRPr="004D6F3A">
        <w:t xml:space="preserve"> </w:t>
      </w:r>
      <w:r w:rsidR="00714D4D" w:rsidRPr="004D6F3A">
        <w:t xml:space="preserve">for which </w:t>
      </w:r>
      <w:r w:rsidR="00C028D8" w:rsidRPr="004D6F3A">
        <w:t xml:space="preserve">the </w:t>
      </w:r>
      <w:r w:rsidR="00194326" w:rsidRPr="004D6F3A">
        <w:t>firm</w:t>
      </w:r>
      <w:r w:rsidR="00714D4D" w:rsidRPr="004D6F3A">
        <w:t xml:space="preserve"> is applying.</w:t>
      </w:r>
    </w:p>
    <w:p w14:paraId="4AF46C13" w14:textId="77777777" w:rsidR="00B671BA" w:rsidRPr="004D6F3A" w:rsidRDefault="00B671BA" w:rsidP="00E73EA8">
      <w:pPr>
        <w:widowControl w:val="0"/>
        <w:ind w:left="1440"/>
        <w:jc w:val="both"/>
      </w:pPr>
    </w:p>
    <w:p w14:paraId="44FDE9DE" w14:textId="77777777" w:rsidR="00FE66C8" w:rsidRPr="004D6F3A" w:rsidRDefault="00E8163B" w:rsidP="00B941AF">
      <w:pPr>
        <w:pStyle w:val="Heading5"/>
        <w:keepNext w:val="0"/>
        <w:widowControl w:val="0"/>
        <w:tabs>
          <w:tab w:val="clear" w:pos="6570"/>
        </w:tabs>
        <w:ind w:left="1440" w:hanging="720"/>
        <w:jc w:val="both"/>
        <w:rPr>
          <w:rFonts w:ascii="Times New Roman" w:hAnsi="Times New Roman"/>
        </w:rPr>
      </w:pPr>
      <w:r w:rsidRPr="004D6F3A">
        <w:rPr>
          <w:rFonts w:ascii="Times New Roman" w:hAnsi="Times New Roman"/>
        </w:rPr>
        <w:t xml:space="preserve">QUALIFICATIONS, </w:t>
      </w:r>
      <w:r w:rsidR="00163143" w:rsidRPr="004D6F3A">
        <w:rPr>
          <w:rFonts w:ascii="Times New Roman" w:hAnsi="Times New Roman"/>
        </w:rPr>
        <w:t>EXPERIENCE</w:t>
      </w:r>
      <w:r w:rsidR="00C21C3C" w:rsidRPr="004D6F3A">
        <w:rPr>
          <w:rFonts w:ascii="Times New Roman" w:hAnsi="Times New Roman"/>
        </w:rPr>
        <w:t>, KNOWLEDGE AND SERVICE DELIVERY CAPABILITIES</w:t>
      </w:r>
    </w:p>
    <w:p w14:paraId="5C01D565" w14:textId="77777777" w:rsidR="00E8163B" w:rsidRPr="004D6F3A" w:rsidRDefault="00E8163B" w:rsidP="00302B35">
      <w:pPr>
        <w:numPr>
          <w:ilvl w:val="1"/>
          <w:numId w:val="3"/>
        </w:numPr>
        <w:tabs>
          <w:tab w:val="clear" w:pos="1800"/>
        </w:tabs>
        <w:ind w:left="2160" w:hanging="720"/>
      </w:pPr>
      <w:r w:rsidRPr="004D6F3A">
        <w:t>If applying for the GO</w:t>
      </w:r>
      <w:r w:rsidR="00194326" w:rsidRPr="004D6F3A">
        <w:t>/</w:t>
      </w:r>
      <w:r w:rsidRPr="004D6F3A">
        <w:t>RAN Bond Counsel Assignment, please respond to the following questions:</w:t>
      </w:r>
    </w:p>
    <w:p w14:paraId="4D64652C" w14:textId="77777777" w:rsidR="00E8163B" w:rsidRPr="004D6F3A" w:rsidRDefault="00E8163B" w:rsidP="00E8163B">
      <w:pPr>
        <w:ind w:left="1080"/>
        <w:jc w:val="both"/>
      </w:pPr>
    </w:p>
    <w:p w14:paraId="1F8A2EE4" w14:textId="11057C95" w:rsidR="00642E3A" w:rsidRPr="004D6F3A" w:rsidRDefault="00642E3A" w:rsidP="00302B35">
      <w:pPr>
        <w:numPr>
          <w:ilvl w:val="1"/>
          <w:numId w:val="53"/>
        </w:numPr>
        <w:ind w:left="2880" w:hanging="720"/>
        <w:jc w:val="both"/>
      </w:pPr>
      <w:r w:rsidRPr="004D6F3A">
        <w:t>Provide the names and titles of the individuals expected to work on the GO</w:t>
      </w:r>
      <w:r w:rsidR="00194326" w:rsidRPr="004D6F3A">
        <w:t>/</w:t>
      </w:r>
      <w:r w:rsidRPr="004D6F3A">
        <w:t xml:space="preserve">RAN Bond Counsel </w:t>
      </w:r>
      <w:r w:rsidR="005E2D20">
        <w:t>A</w:t>
      </w:r>
      <w:r w:rsidRPr="004D6F3A">
        <w:t xml:space="preserve">ssignment.  Describe the role of each individual on the team and the anticipated division of duties among partner, </w:t>
      </w:r>
      <w:r w:rsidR="00CE19E6" w:rsidRPr="004D6F3A">
        <w:t>associates,</w:t>
      </w:r>
      <w:r w:rsidRPr="004D6F3A">
        <w:t xml:space="preserve"> and paralegals.  Please attach a detailed resume</w:t>
      </w:r>
      <w:r w:rsidR="00C028D8" w:rsidRPr="004D6F3A">
        <w:t xml:space="preserve"> (similar to one that would be submitted for employment)</w:t>
      </w:r>
      <w:r w:rsidRPr="004D6F3A">
        <w:t xml:space="preserve"> for each team member.  If any additional lawyers within the firm may be available for consultation, even though they are not assigned to work with the team, please identify and </w:t>
      </w:r>
      <w:r w:rsidR="00194326" w:rsidRPr="004D6F3A">
        <w:t xml:space="preserve">describe </w:t>
      </w:r>
      <w:r w:rsidRPr="004D6F3A">
        <w:t>their specialized expertise.</w:t>
      </w:r>
    </w:p>
    <w:p w14:paraId="13359581" w14:textId="77777777" w:rsidR="00642E3A" w:rsidRPr="004D6F3A" w:rsidRDefault="00642E3A" w:rsidP="00302B35">
      <w:pPr>
        <w:ind w:left="2880" w:hanging="720"/>
        <w:jc w:val="both"/>
      </w:pPr>
    </w:p>
    <w:p w14:paraId="09B543F1" w14:textId="1B2EAB8A" w:rsidR="00051E37" w:rsidRPr="004D6F3A" w:rsidRDefault="00051E37" w:rsidP="00302B35">
      <w:pPr>
        <w:numPr>
          <w:ilvl w:val="1"/>
          <w:numId w:val="53"/>
        </w:numPr>
        <w:ind w:left="2880" w:hanging="720"/>
        <w:jc w:val="both"/>
      </w:pPr>
      <w:r w:rsidRPr="004D6F3A">
        <w:t xml:space="preserve">Describe the </w:t>
      </w:r>
      <w:r w:rsidR="002B3526" w:rsidRPr="004D6F3A">
        <w:t xml:space="preserve">firm’s </w:t>
      </w:r>
      <w:r w:rsidR="007841A0" w:rsidRPr="004D6F3A">
        <w:t xml:space="preserve">bond counsel </w:t>
      </w:r>
      <w:r w:rsidRPr="004D6F3A">
        <w:t>work since January 1, 20</w:t>
      </w:r>
      <w:r w:rsidR="009B0F3C" w:rsidRPr="004D6F3A">
        <w:t>1</w:t>
      </w:r>
      <w:r w:rsidR="001C781F">
        <w:t>9</w:t>
      </w:r>
      <w:r w:rsidRPr="004D6F3A">
        <w:t xml:space="preserve"> with large issuers</w:t>
      </w:r>
      <w:r w:rsidR="00EB02A9" w:rsidRPr="004D6F3A">
        <w:t xml:space="preserve"> (</w:t>
      </w:r>
      <w:r w:rsidR="00887F6D" w:rsidRPr="004D6F3A">
        <w:t xml:space="preserve">including </w:t>
      </w:r>
      <w:r w:rsidR="00EB02A9" w:rsidRPr="004D6F3A">
        <w:t>states) that best illustrate</w:t>
      </w:r>
      <w:r w:rsidRPr="004D6F3A">
        <w:t xml:space="preserve"> the firm’s qualifications, experience and ability to serve as bond counsel on the State’s GO</w:t>
      </w:r>
      <w:r w:rsidR="00194326" w:rsidRPr="004D6F3A">
        <w:t>/</w:t>
      </w:r>
      <w:r w:rsidR="00DF51B6" w:rsidRPr="004D6F3A">
        <w:t xml:space="preserve">RAN </w:t>
      </w:r>
      <w:r w:rsidR="005E2D20">
        <w:t xml:space="preserve">Bond Counsel </w:t>
      </w:r>
      <w:r w:rsidR="00642E3A" w:rsidRPr="004D6F3A">
        <w:t>Assignment</w:t>
      </w:r>
      <w:r w:rsidRPr="004D6F3A">
        <w:t>.</w:t>
      </w:r>
    </w:p>
    <w:p w14:paraId="09FC325F" w14:textId="77777777" w:rsidR="002B3526" w:rsidRPr="004D6F3A" w:rsidRDefault="002B3526" w:rsidP="00302B35">
      <w:pPr>
        <w:ind w:left="2880" w:hanging="720"/>
        <w:jc w:val="both"/>
      </w:pPr>
    </w:p>
    <w:p w14:paraId="2B25145F" w14:textId="77777777" w:rsidR="002B3526" w:rsidRPr="004D6F3A" w:rsidRDefault="002B3526" w:rsidP="00302B35">
      <w:pPr>
        <w:numPr>
          <w:ilvl w:val="1"/>
          <w:numId w:val="53"/>
        </w:numPr>
        <w:ind w:left="2880" w:hanging="720"/>
        <w:jc w:val="both"/>
      </w:pPr>
      <w:r w:rsidRPr="004D6F3A">
        <w:t xml:space="preserve">Describe the firm’s knowledge of the </w:t>
      </w:r>
      <w:r w:rsidR="00FE1841" w:rsidRPr="004D6F3A">
        <w:t xml:space="preserve">State’s </w:t>
      </w:r>
      <w:r w:rsidRPr="004D6F3A">
        <w:t xml:space="preserve">GO </w:t>
      </w:r>
      <w:r w:rsidR="00FF002C" w:rsidRPr="004D6F3A">
        <w:t xml:space="preserve">bond </w:t>
      </w:r>
      <w:r w:rsidR="00642E3A" w:rsidRPr="004D6F3A">
        <w:t>and RAN</w:t>
      </w:r>
      <w:r w:rsidR="00FF002C" w:rsidRPr="004D6F3A">
        <w:t>s</w:t>
      </w:r>
      <w:r w:rsidR="00642E3A" w:rsidRPr="004D6F3A">
        <w:t xml:space="preserve"> </w:t>
      </w:r>
      <w:r w:rsidRPr="004D6F3A">
        <w:t>program</w:t>
      </w:r>
      <w:r w:rsidR="00642E3A" w:rsidRPr="004D6F3A">
        <w:t>s</w:t>
      </w:r>
      <w:r w:rsidRPr="004D6F3A">
        <w:t xml:space="preserve">, including </w:t>
      </w:r>
      <w:r w:rsidR="007841A0" w:rsidRPr="004D6F3A">
        <w:t>any</w:t>
      </w:r>
      <w:r w:rsidRPr="004D6F3A">
        <w:t xml:space="preserve"> issues </w:t>
      </w:r>
      <w:r w:rsidR="007841A0" w:rsidRPr="004D6F3A">
        <w:t>or</w:t>
      </w:r>
      <w:r w:rsidRPr="004D6F3A">
        <w:t xml:space="preserve"> challenges </w:t>
      </w:r>
      <w:r w:rsidR="00FF002C" w:rsidRPr="004D6F3A">
        <w:t xml:space="preserve">your firm perceives as </w:t>
      </w:r>
      <w:r w:rsidRPr="004D6F3A">
        <w:t>facing the pr</w:t>
      </w:r>
      <w:r w:rsidR="00FE1841" w:rsidRPr="004D6F3A">
        <w:t>o</w:t>
      </w:r>
      <w:r w:rsidRPr="004D6F3A">
        <w:t>gram</w:t>
      </w:r>
      <w:r w:rsidR="00194326" w:rsidRPr="004D6F3A">
        <w:t>s</w:t>
      </w:r>
      <w:r w:rsidRPr="004D6F3A">
        <w:t>.</w:t>
      </w:r>
    </w:p>
    <w:p w14:paraId="488B3A48" w14:textId="77777777" w:rsidR="00DF2508" w:rsidRPr="004D6F3A" w:rsidRDefault="00DF2508" w:rsidP="00302B35">
      <w:pPr>
        <w:ind w:left="2880" w:hanging="720"/>
        <w:jc w:val="both"/>
      </w:pPr>
    </w:p>
    <w:p w14:paraId="2047B7B9" w14:textId="77777777" w:rsidR="00DF2508" w:rsidRPr="004D6F3A" w:rsidRDefault="00DF2508" w:rsidP="00302B35">
      <w:pPr>
        <w:numPr>
          <w:ilvl w:val="1"/>
          <w:numId w:val="53"/>
        </w:numPr>
        <w:ind w:left="2880" w:hanging="720"/>
        <w:jc w:val="both"/>
      </w:pPr>
      <w:r w:rsidRPr="004D6F3A">
        <w:t>Describe any recommendations the firm has to improve the State’s GO bond program.</w:t>
      </w:r>
    </w:p>
    <w:p w14:paraId="7A5FE655" w14:textId="77777777" w:rsidR="002B3526" w:rsidRPr="004D6F3A" w:rsidRDefault="002B3526" w:rsidP="00302B35">
      <w:pPr>
        <w:ind w:left="2880" w:hanging="720"/>
        <w:jc w:val="both"/>
      </w:pPr>
    </w:p>
    <w:p w14:paraId="4C143893" w14:textId="68778939" w:rsidR="00FE1841" w:rsidRPr="004D6F3A" w:rsidRDefault="00FE1841" w:rsidP="00302B35">
      <w:pPr>
        <w:numPr>
          <w:ilvl w:val="1"/>
          <w:numId w:val="53"/>
        </w:numPr>
        <w:ind w:left="2880" w:hanging="720"/>
        <w:jc w:val="both"/>
      </w:pPr>
      <w:r w:rsidRPr="004D6F3A">
        <w:t>Describe your firm’s experience with commercial paper and variable</w:t>
      </w:r>
      <w:r w:rsidR="002E3577" w:rsidRPr="004D6F3A">
        <w:t>-</w:t>
      </w:r>
      <w:r w:rsidRPr="004D6F3A">
        <w:t>rate bond programs since January 1, 20</w:t>
      </w:r>
      <w:r w:rsidR="009B0F3C" w:rsidRPr="004D6F3A">
        <w:t>1</w:t>
      </w:r>
      <w:r w:rsidR="001C781F">
        <w:t>9</w:t>
      </w:r>
      <w:r w:rsidRPr="004D6F3A">
        <w:t>.  Please include any experience with negotiating letters of credit and other credit agreements.</w:t>
      </w:r>
    </w:p>
    <w:p w14:paraId="3ECB363F" w14:textId="77777777" w:rsidR="00FE1841" w:rsidRPr="004D6F3A" w:rsidRDefault="00FE1841" w:rsidP="00302B35">
      <w:pPr>
        <w:pStyle w:val="ListParagraph"/>
        <w:ind w:left="2880" w:hanging="720"/>
      </w:pPr>
    </w:p>
    <w:p w14:paraId="14ECD65F" w14:textId="7BE2E0DD" w:rsidR="002914E4" w:rsidRPr="004D6F3A" w:rsidRDefault="00163143" w:rsidP="00302B35">
      <w:pPr>
        <w:numPr>
          <w:ilvl w:val="1"/>
          <w:numId w:val="53"/>
        </w:numPr>
        <w:ind w:left="2880" w:hanging="720"/>
        <w:jc w:val="both"/>
      </w:pPr>
      <w:r w:rsidRPr="004D6F3A">
        <w:t xml:space="preserve">Describe </w:t>
      </w:r>
      <w:r w:rsidR="002B3526" w:rsidRPr="004D6F3A">
        <w:t>the experience</w:t>
      </w:r>
      <w:r w:rsidR="00887F6D" w:rsidRPr="004D6F3A">
        <w:t>,</w:t>
      </w:r>
      <w:r w:rsidR="00FE1841" w:rsidRPr="004D6F3A">
        <w:t xml:space="preserve"> </w:t>
      </w:r>
      <w:r w:rsidR="00CE19E6" w:rsidRPr="004D6F3A">
        <w:t>depth,</w:t>
      </w:r>
      <w:r w:rsidR="00FE1841" w:rsidRPr="004D6F3A">
        <w:t xml:space="preserve"> </w:t>
      </w:r>
      <w:r w:rsidR="00887F6D" w:rsidRPr="004D6F3A">
        <w:t xml:space="preserve">and breadth </w:t>
      </w:r>
      <w:r w:rsidR="002B3526" w:rsidRPr="004D6F3A">
        <w:t>of the</w:t>
      </w:r>
      <w:r w:rsidRPr="004D6F3A">
        <w:t xml:space="preserve"> firm’s</w:t>
      </w:r>
      <w:r w:rsidR="005E2D20">
        <w:t xml:space="preserve"> Internal Revenue Code</w:t>
      </w:r>
      <w:r w:rsidRPr="004D6F3A">
        <w:t xml:space="preserve"> </w:t>
      </w:r>
      <w:r w:rsidR="005E2D20">
        <w:t>(</w:t>
      </w:r>
      <w:r w:rsidRPr="004D6F3A">
        <w:t>IRC</w:t>
      </w:r>
      <w:r w:rsidR="005E2D20">
        <w:t>)</w:t>
      </w:r>
      <w:r w:rsidRPr="004D6F3A">
        <w:t xml:space="preserve"> Section 103 practice</w:t>
      </w:r>
      <w:r w:rsidR="00EB02A9" w:rsidRPr="004D6F3A">
        <w:t>.  Please also describe the following:</w:t>
      </w:r>
    </w:p>
    <w:p w14:paraId="5CE8B8ED" w14:textId="77777777" w:rsidR="002914E4" w:rsidRPr="004D6F3A" w:rsidRDefault="00887F6D" w:rsidP="00302B35">
      <w:pPr>
        <w:numPr>
          <w:ilvl w:val="2"/>
          <w:numId w:val="53"/>
        </w:numPr>
        <w:ind w:left="3600" w:hanging="720"/>
        <w:jc w:val="both"/>
      </w:pPr>
      <w:r w:rsidRPr="004D6F3A">
        <w:t xml:space="preserve">the firm’s </w:t>
      </w:r>
      <w:r w:rsidR="002B3526" w:rsidRPr="004D6F3A">
        <w:t xml:space="preserve">ability to handle </w:t>
      </w:r>
      <w:r w:rsidR="002914E4" w:rsidRPr="004D6F3A">
        <w:t xml:space="preserve">the tax </w:t>
      </w:r>
      <w:r w:rsidR="002B3526" w:rsidRPr="004D6F3A">
        <w:t>workload and comp</w:t>
      </w:r>
      <w:r w:rsidR="00FE1841" w:rsidRPr="004D6F3A">
        <w:t>lexities of the GO bond program;</w:t>
      </w:r>
      <w:r w:rsidRPr="004D6F3A">
        <w:t xml:space="preserve"> </w:t>
      </w:r>
    </w:p>
    <w:p w14:paraId="670B41B3" w14:textId="77777777" w:rsidR="002914E4" w:rsidRPr="004D6F3A" w:rsidRDefault="002914E4" w:rsidP="00302B35">
      <w:pPr>
        <w:numPr>
          <w:ilvl w:val="2"/>
          <w:numId w:val="53"/>
        </w:numPr>
        <w:ind w:left="3600" w:hanging="720"/>
        <w:jc w:val="both"/>
      </w:pPr>
      <w:r w:rsidRPr="004D6F3A">
        <w:t>the firm</w:t>
      </w:r>
      <w:r w:rsidR="00786F44" w:rsidRPr="004D6F3A">
        <w:t>’s</w:t>
      </w:r>
      <w:r w:rsidRPr="004D6F3A">
        <w:t xml:space="preserve"> </w:t>
      </w:r>
      <w:r w:rsidR="00163143" w:rsidRPr="004D6F3A">
        <w:t xml:space="preserve">experience with representing clients in IRS audits, </w:t>
      </w:r>
      <w:r w:rsidR="002B3526" w:rsidRPr="004D6F3A">
        <w:t xml:space="preserve">drafting private letter ruling requests and voluntary </w:t>
      </w:r>
      <w:r w:rsidR="00163143" w:rsidRPr="004D6F3A">
        <w:t xml:space="preserve">closing agreements, and other </w:t>
      </w:r>
      <w:r w:rsidR="00FE1841" w:rsidRPr="004D6F3A">
        <w:t xml:space="preserve">tax </w:t>
      </w:r>
      <w:r w:rsidR="00163143" w:rsidRPr="004D6F3A">
        <w:t>matters</w:t>
      </w:r>
      <w:r w:rsidR="00FE1841" w:rsidRPr="004D6F3A">
        <w:t>; and</w:t>
      </w:r>
    </w:p>
    <w:p w14:paraId="35E4558E" w14:textId="0719495C" w:rsidR="00847FD7" w:rsidRDefault="00FE1841" w:rsidP="00302B35">
      <w:pPr>
        <w:numPr>
          <w:ilvl w:val="2"/>
          <w:numId w:val="53"/>
        </w:numPr>
        <w:ind w:left="3600" w:hanging="720"/>
        <w:jc w:val="both"/>
      </w:pPr>
      <w:r w:rsidRPr="004D6F3A">
        <w:lastRenderedPageBreak/>
        <w:t>the firm’s experience with advising issuers on long-term working capital financings.</w:t>
      </w:r>
    </w:p>
    <w:p w14:paraId="701FFF0C" w14:textId="77777777" w:rsidR="00ED3D09" w:rsidRPr="004D6F3A" w:rsidRDefault="00ED3D09" w:rsidP="000523A1">
      <w:pPr>
        <w:ind w:left="3600"/>
        <w:jc w:val="both"/>
      </w:pPr>
    </w:p>
    <w:p w14:paraId="5625F91F" w14:textId="77777777" w:rsidR="00163143" w:rsidRPr="004D6F3A" w:rsidRDefault="00847FD7" w:rsidP="00302B35">
      <w:pPr>
        <w:numPr>
          <w:ilvl w:val="1"/>
          <w:numId w:val="53"/>
        </w:numPr>
        <w:ind w:left="2880" w:hanging="720"/>
        <w:jc w:val="both"/>
      </w:pPr>
      <w:r w:rsidRPr="004D6F3A">
        <w:t>Describe the firm’s experience drafting legislation regarding the issuance</w:t>
      </w:r>
      <w:r w:rsidR="002C2B56" w:rsidRPr="004D6F3A">
        <w:t xml:space="preserve"> of municipal debt</w:t>
      </w:r>
      <w:r w:rsidRPr="004D6F3A">
        <w:t xml:space="preserve"> for issuers in the State.</w:t>
      </w:r>
    </w:p>
    <w:p w14:paraId="09D2FC92" w14:textId="77777777" w:rsidR="00A8353A" w:rsidRPr="004D6F3A" w:rsidRDefault="00A8353A" w:rsidP="00302B35">
      <w:pPr>
        <w:pStyle w:val="ListParagraph"/>
        <w:ind w:left="2880" w:hanging="720"/>
      </w:pPr>
    </w:p>
    <w:p w14:paraId="7E302C80" w14:textId="77777777" w:rsidR="00A8353A" w:rsidRPr="004D6F3A" w:rsidRDefault="00A933E5" w:rsidP="00302B35">
      <w:pPr>
        <w:numPr>
          <w:ilvl w:val="1"/>
          <w:numId w:val="53"/>
        </w:numPr>
        <w:ind w:left="2880" w:hanging="720"/>
        <w:jc w:val="both"/>
      </w:pPr>
      <w:r w:rsidRPr="004D6F3A">
        <w:t>Provide any other information the firm would like consider</w:t>
      </w:r>
      <w:r w:rsidR="004C5BBA" w:rsidRPr="004D6F3A">
        <w:t>ed for this assignment</w:t>
      </w:r>
      <w:r w:rsidRPr="004D6F3A">
        <w:t xml:space="preserve">. </w:t>
      </w:r>
    </w:p>
    <w:p w14:paraId="192824EF" w14:textId="77777777" w:rsidR="0000445D" w:rsidRPr="004D6F3A" w:rsidRDefault="0000445D" w:rsidP="00E40764">
      <w:pPr>
        <w:pStyle w:val="ListParagraph"/>
        <w:rPr>
          <w:b/>
        </w:rPr>
      </w:pPr>
    </w:p>
    <w:p w14:paraId="341DB72C" w14:textId="1FA144C9" w:rsidR="00235285" w:rsidRPr="004D6F3A" w:rsidRDefault="0000445D" w:rsidP="00C05E8F">
      <w:pPr>
        <w:pStyle w:val="ListParagraph"/>
        <w:numPr>
          <w:ilvl w:val="1"/>
          <w:numId w:val="3"/>
        </w:numPr>
        <w:tabs>
          <w:tab w:val="clear" w:pos="1800"/>
        </w:tabs>
        <w:ind w:left="2160" w:hanging="720"/>
        <w:jc w:val="both"/>
      </w:pPr>
      <w:r w:rsidRPr="004D6F3A">
        <w:t xml:space="preserve">If applying for the GO Disclosure </w:t>
      </w:r>
      <w:r w:rsidR="00235285" w:rsidRPr="004D6F3A">
        <w:t xml:space="preserve">Counsel </w:t>
      </w:r>
      <w:r w:rsidRPr="004D6F3A">
        <w:t xml:space="preserve">Assignment </w:t>
      </w:r>
      <w:r w:rsidR="00E8231C" w:rsidRPr="004D6F3A">
        <w:t>or the Appendix A Disclosure Counsel</w:t>
      </w:r>
      <w:r w:rsidR="004C5BBA" w:rsidRPr="004D6F3A">
        <w:t xml:space="preserve"> </w:t>
      </w:r>
      <w:r w:rsidR="005E2D20">
        <w:t>A</w:t>
      </w:r>
      <w:r w:rsidR="004C5BBA" w:rsidRPr="004D6F3A">
        <w:t>ssignment</w:t>
      </w:r>
      <w:r w:rsidR="00E8231C" w:rsidRPr="004D6F3A">
        <w:t xml:space="preserve">, </w:t>
      </w:r>
      <w:r w:rsidRPr="004D6F3A">
        <w:t>please respond to the following questions:</w:t>
      </w:r>
    </w:p>
    <w:p w14:paraId="7308DE5C" w14:textId="77777777" w:rsidR="00235285" w:rsidRPr="004D6F3A" w:rsidRDefault="00235285" w:rsidP="0000445D">
      <w:pPr>
        <w:pStyle w:val="ListParagraph"/>
      </w:pPr>
    </w:p>
    <w:p w14:paraId="36476549" w14:textId="14D3F72E" w:rsidR="00642E3A" w:rsidRPr="004D6F3A" w:rsidRDefault="00642E3A" w:rsidP="00302B35">
      <w:pPr>
        <w:pStyle w:val="Heading5"/>
        <w:keepNext w:val="0"/>
        <w:widowControl w:val="0"/>
        <w:numPr>
          <w:ilvl w:val="1"/>
          <w:numId w:val="54"/>
        </w:numPr>
        <w:ind w:hanging="720"/>
        <w:jc w:val="both"/>
        <w:rPr>
          <w:rFonts w:ascii="Times New Roman" w:hAnsi="Times New Roman"/>
          <w:b w:val="0"/>
        </w:rPr>
      </w:pPr>
      <w:r w:rsidRPr="004D6F3A">
        <w:rPr>
          <w:rFonts w:ascii="Times New Roman" w:hAnsi="Times New Roman"/>
          <w:b w:val="0"/>
        </w:rPr>
        <w:t xml:space="preserve">Provide the names and titles of the individuals expected to work on the disclosure counsel assignment(s) for which the firm is applying.  Describe the role of each individual on the team and the anticipated division of duties among partner, </w:t>
      </w:r>
      <w:r w:rsidR="00CE19E6" w:rsidRPr="004D6F3A">
        <w:rPr>
          <w:rFonts w:ascii="Times New Roman" w:hAnsi="Times New Roman"/>
          <w:b w:val="0"/>
        </w:rPr>
        <w:t>associates,</w:t>
      </w:r>
      <w:r w:rsidRPr="004D6F3A">
        <w:rPr>
          <w:rFonts w:ascii="Times New Roman" w:hAnsi="Times New Roman"/>
          <w:b w:val="0"/>
        </w:rPr>
        <w:t xml:space="preserve"> and paralegals.  Please attach a detailed resume </w:t>
      </w:r>
      <w:r w:rsidR="00C028D8" w:rsidRPr="004D6F3A">
        <w:rPr>
          <w:rFonts w:ascii="Times New Roman" w:hAnsi="Times New Roman"/>
          <w:b w:val="0"/>
        </w:rPr>
        <w:t xml:space="preserve">(similar to one that would be submitted for employment) </w:t>
      </w:r>
      <w:r w:rsidRPr="004D6F3A">
        <w:rPr>
          <w:rFonts w:ascii="Times New Roman" w:hAnsi="Times New Roman"/>
          <w:b w:val="0"/>
        </w:rPr>
        <w:t xml:space="preserve">for each team member.  If any additional lawyers within the firm may be available for consultation, even though they are not assigned to work with the team, please identify and </w:t>
      </w:r>
      <w:r w:rsidR="00194326" w:rsidRPr="004D6F3A">
        <w:rPr>
          <w:rFonts w:ascii="Times New Roman" w:hAnsi="Times New Roman"/>
          <w:b w:val="0"/>
        </w:rPr>
        <w:t xml:space="preserve">describe </w:t>
      </w:r>
      <w:r w:rsidRPr="004D6F3A">
        <w:rPr>
          <w:rFonts w:ascii="Times New Roman" w:hAnsi="Times New Roman"/>
          <w:b w:val="0"/>
        </w:rPr>
        <w:t>their specialized expertise</w:t>
      </w:r>
      <w:r w:rsidR="0078678C">
        <w:rPr>
          <w:rFonts w:ascii="Times New Roman" w:hAnsi="Times New Roman"/>
          <w:b w:val="0"/>
        </w:rPr>
        <w:t>.</w:t>
      </w:r>
    </w:p>
    <w:p w14:paraId="6C0570B7" w14:textId="77777777" w:rsidR="00152383" w:rsidRPr="004D6F3A" w:rsidRDefault="00152383" w:rsidP="0024371D">
      <w:pPr>
        <w:ind w:left="2880" w:hanging="720"/>
      </w:pPr>
    </w:p>
    <w:p w14:paraId="27C21C76" w14:textId="6268A3AA" w:rsidR="00235285" w:rsidRPr="004D6F3A" w:rsidRDefault="0000445D" w:rsidP="00302B35">
      <w:pPr>
        <w:pStyle w:val="Heading5"/>
        <w:keepNext w:val="0"/>
        <w:widowControl w:val="0"/>
        <w:numPr>
          <w:ilvl w:val="1"/>
          <w:numId w:val="54"/>
        </w:numPr>
        <w:ind w:hanging="720"/>
        <w:jc w:val="both"/>
        <w:rPr>
          <w:rFonts w:ascii="Times New Roman" w:hAnsi="Times New Roman"/>
          <w:b w:val="0"/>
        </w:rPr>
      </w:pPr>
      <w:r w:rsidRPr="004D6F3A">
        <w:rPr>
          <w:rFonts w:ascii="Times New Roman" w:hAnsi="Times New Roman"/>
          <w:b w:val="0"/>
        </w:rPr>
        <w:t xml:space="preserve">Describe the firm’s disclosure counsel work since January 1, </w:t>
      </w:r>
      <w:r w:rsidR="005E2D20">
        <w:rPr>
          <w:rFonts w:ascii="Times New Roman" w:hAnsi="Times New Roman"/>
          <w:b w:val="0"/>
        </w:rPr>
        <w:t>2019</w:t>
      </w:r>
      <w:r w:rsidRPr="004D6F3A">
        <w:rPr>
          <w:rFonts w:ascii="Times New Roman" w:hAnsi="Times New Roman"/>
          <w:b w:val="0"/>
        </w:rPr>
        <w:t xml:space="preserve"> with </w:t>
      </w:r>
      <w:r w:rsidR="00786F44" w:rsidRPr="004D6F3A">
        <w:rPr>
          <w:rFonts w:ascii="Times New Roman" w:hAnsi="Times New Roman"/>
          <w:b w:val="0"/>
        </w:rPr>
        <w:t>large issuer</w:t>
      </w:r>
      <w:r w:rsidR="002C2B56" w:rsidRPr="004D6F3A">
        <w:rPr>
          <w:rFonts w:ascii="Times New Roman" w:hAnsi="Times New Roman"/>
          <w:b w:val="0"/>
        </w:rPr>
        <w:t>s</w:t>
      </w:r>
      <w:r w:rsidR="00786F44" w:rsidRPr="004D6F3A">
        <w:rPr>
          <w:rFonts w:ascii="Times New Roman" w:hAnsi="Times New Roman"/>
          <w:b w:val="0"/>
        </w:rPr>
        <w:t xml:space="preserve"> (</w:t>
      </w:r>
      <w:r w:rsidR="00235285" w:rsidRPr="004D6F3A">
        <w:rPr>
          <w:rFonts w:ascii="Times New Roman" w:hAnsi="Times New Roman"/>
          <w:b w:val="0"/>
        </w:rPr>
        <w:t>including states</w:t>
      </w:r>
      <w:r w:rsidR="00786F44" w:rsidRPr="004D6F3A">
        <w:rPr>
          <w:rFonts w:ascii="Times New Roman" w:hAnsi="Times New Roman"/>
          <w:b w:val="0"/>
        </w:rPr>
        <w:t>)</w:t>
      </w:r>
      <w:r w:rsidRPr="004D6F3A">
        <w:rPr>
          <w:rFonts w:ascii="Times New Roman" w:hAnsi="Times New Roman"/>
          <w:b w:val="0"/>
        </w:rPr>
        <w:t xml:space="preserve"> that best illustrate the firm’s qualifications, experience and ability to serve as disclosure counsel</w:t>
      </w:r>
      <w:r w:rsidR="00152383" w:rsidRPr="004D6F3A">
        <w:rPr>
          <w:rFonts w:ascii="Times New Roman" w:hAnsi="Times New Roman"/>
          <w:b w:val="0"/>
        </w:rPr>
        <w:t xml:space="preserve"> on the GO Disclosure Counsel Assignment or the Appendix A Disclosure Counsel Assignment</w:t>
      </w:r>
      <w:r w:rsidRPr="004D6F3A">
        <w:rPr>
          <w:rFonts w:ascii="Times New Roman" w:hAnsi="Times New Roman"/>
          <w:b w:val="0"/>
        </w:rPr>
        <w:t>.</w:t>
      </w:r>
      <w:r w:rsidR="00235285" w:rsidRPr="004D6F3A" w:rsidDel="00235285">
        <w:rPr>
          <w:rFonts w:ascii="Times New Roman" w:hAnsi="Times New Roman"/>
          <w:b w:val="0"/>
        </w:rPr>
        <w:t xml:space="preserve"> </w:t>
      </w:r>
    </w:p>
    <w:p w14:paraId="5CCA97A2" w14:textId="77777777" w:rsidR="00235285" w:rsidRPr="004D6F3A" w:rsidRDefault="00235285" w:rsidP="0024371D">
      <w:pPr>
        <w:ind w:left="2880" w:hanging="720"/>
        <w:jc w:val="both"/>
      </w:pPr>
    </w:p>
    <w:p w14:paraId="6328079A" w14:textId="77777777" w:rsidR="00235285" w:rsidRPr="004D6F3A" w:rsidRDefault="0000445D" w:rsidP="00302B35">
      <w:pPr>
        <w:pStyle w:val="Heading5"/>
        <w:keepNext w:val="0"/>
        <w:widowControl w:val="0"/>
        <w:numPr>
          <w:ilvl w:val="1"/>
          <w:numId w:val="54"/>
        </w:numPr>
        <w:ind w:hanging="720"/>
        <w:jc w:val="both"/>
        <w:rPr>
          <w:rFonts w:ascii="Times New Roman" w:hAnsi="Times New Roman"/>
          <w:b w:val="0"/>
        </w:rPr>
      </w:pPr>
      <w:r w:rsidRPr="004D6F3A">
        <w:rPr>
          <w:rFonts w:ascii="Times New Roman" w:hAnsi="Times New Roman"/>
          <w:b w:val="0"/>
        </w:rPr>
        <w:t>Describe the firm’s procedures for keeping abreast of “best practices” in municipal bond disclosure and communicating those practices to its clients.</w:t>
      </w:r>
    </w:p>
    <w:p w14:paraId="11B8926A" w14:textId="77777777" w:rsidR="00847FD7" w:rsidRPr="004D6F3A" w:rsidRDefault="00847FD7" w:rsidP="0024371D">
      <w:pPr>
        <w:widowControl w:val="0"/>
        <w:ind w:left="2880" w:hanging="720"/>
        <w:jc w:val="both"/>
      </w:pPr>
    </w:p>
    <w:p w14:paraId="70D59C76" w14:textId="77777777" w:rsidR="00A933E5" w:rsidRPr="004D6F3A" w:rsidRDefault="00847FD7" w:rsidP="00302B35">
      <w:pPr>
        <w:numPr>
          <w:ilvl w:val="1"/>
          <w:numId w:val="54"/>
        </w:numPr>
        <w:ind w:hanging="720"/>
        <w:rPr>
          <w:b/>
        </w:rPr>
      </w:pPr>
      <w:r w:rsidRPr="004D6F3A">
        <w:t>Describe the firm’s experience training governmental officials on their disclosure obligations.</w:t>
      </w:r>
    </w:p>
    <w:p w14:paraId="4DE03E4C" w14:textId="77777777" w:rsidR="00847FD7" w:rsidRPr="004D6F3A" w:rsidRDefault="00847FD7" w:rsidP="00302B35">
      <w:pPr>
        <w:ind w:left="2880" w:hanging="720"/>
      </w:pPr>
    </w:p>
    <w:p w14:paraId="2EC2C4F3" w14:textId="77777777" w:rsidR="00E8231C" w:rsidRPr="004D6F3A" w:rsidRDefault="00E8231C" w:rsidP="00302B35">
      <w:pPr>
        <w:numPr>
          <w:ilvl w:val="1"/>
          <w:numId w:val="54"/>
        </w:numPr>
        <w:ind w:hanging="720"/>
        <w:rPr>
          <w:b/>
        </w:rPr>
      </w:pPr>
      <w:r w:rsidRPr="004D6F3A">
        <w:t>Describe any recommendations the firm has for the State</w:t>
      </w:r>
      <w:r w:rsidR="00152383" w:rsidRPr="004D6F3A">
        <w:t xml:space="preserve"> </w:t>
      </w:r>
      <w:r w:rsidRPr="004D6F3A">
        <w:t>t</w:t>
      </w:r>
      <w:r w:rsidR="00610C9E" w:rsidRPr="004D6F3A">
        <w:t xml:space="preserve">o improve its </w:t>
      </w:r>
      <w:r w:rsidRPr="004D6F3A">
        <w:t>disclosure practices.</w:t>
      </w:r>
    </w:p>
    <w:p w14:paraId="010A61DE" w14:textId="77777777" w:rsidR="004C5BBA" w:rsidRPr="004D6F3A" w:rsidRDefault="004C5BBA" w:rsidP="00302B35">
      <w:pPr>
        <w:ind w:left="2880" w:hanging="720"/>
      </w:pPr>
    </w:p>
    <w:p w14:paraId="3FF4C11A" w14:textId="53D8EE8B" w:rsidR="00B306B0" w:rsidRPr="00B306B0" w:rsidRDefault="00387A0F" w:rsidP="00B306B0">
      <w:pPr>
        <w:numPr>
          <w:ilvl w:val="1"/>
          <w:numId w:val="54"/>
        </w:numPr>
        <w:ind w:hanging="720"/>
        <w:rPr>
          <w:b/>
        </w:rPr>
      </w:pPr>
      <w:r w:rsidRPr="004D6F3A">
        <w:t>Provide any other information the firm would like consider</w:t>
      </w:r>
      <w:r w:rsidR="00152383" w:rsidRPr="004D6F3A">
        <w:t>ed</w:t>
      </w:r>
      <w:r w:rsidR="00194326" w:rsidRPr="004D6F3A">
        <w:t xml:space="preserve"> for these assignments</w:t>
      </w:r>
      <w:r w:rsidRPr="004D6F3A">
        <w:t>.</w:t>
      </w:r>
    </w:p>
    <w:p w14:paraId="266C28E8" w14:textId="6CCEB2C8" w:rsidR="0093608B" w:rsidRDefault="0093608B" w:rsidP="000523A1">
      <w:pPr>
        <w:pStyle w:val="ListParagraph"/>
        <w:ind w:left="2160"/>
        <w:jc w:val="both"/>
      </w:pPr>
    </w:p>
    <w:p w14:paraId="3F3A6BE8" w14:textId="6FF3EB2C" w:rsidR="00C05E8F" w:rsidRDefault="00C05E8F" w:rsidP="00C05E8F">
      <w:pPr>
        <w:pStyle w:val="ListParagraph"/>
        <w:numPr>
          <w:ilvl w:val="1"/>
          <w:numId w:val="3"/>
        </w:numPr>
        <w:tabs>
          <w:tab w:val="clear" w:pos="1800"/>
        </w:tabs>
        <w:ind w:left="2160" w:hanging="720"/>
        <w:jc w:val="both"/>
      </w:pPr>
      <w:r w:rsidRPr="00C05E8F">
        <w:t>If applying for the</w:t>
      </w:r>
      <w:r w:rsidR="005E2D20">
        <w:t xml:space="preserve"> CalVet</w:t>
      </w:r>
      <w:r w:rsidR="00E01339">
        <w:t>s</w:t>
      </w:r>
      <w:r w:rsidRPr="00C05E8F">
        <w:t xml:space="preserve"> Disclosure Counsel </w:t>
      </w:r>
      <w:r w:rsidR="005E2D20">
        <w:t>A</w:t>
      </w:r>
      <w:r w:rsidRPr="00C05E8F">
        <w:t>ssignment, please respond to the following questions:</w:t>
      </w:r>
    </w:p>
    <w:p w14:paraId="47817F5A" w14:textId="77777777" w:rsidR="00C05E8F" w:rsidRDefault="00C05E8F" w:rsidP="000523A1">
      <w:pPr>
        <w:pStyle w:val="ListParagraph"/>
        <w:ind w:left="2160"/>
        <w:jc w:val="both"/>
      </w:pPr>
    </w:p>
    <w:p w14:paraId="4F485BFD" w14:textId="06748F0B" w:rsidR="00C717E0" w:rsidRDefault="00C717E0" w:rsidP="00C717E0">
      <w:pPr>
        <w:pStyle w:val="ListParagraph"/>
        <w:numPr>
          <w:ilvl w:val="0"/>
          <w:numId w:val="70"/>
        </w:numPr>
        <w:ind w:left="2880" w:hanging="720"/>
        <w:jc w:val="both"/>
      </w:pPr>
      <w:r>
        <w:t xml:space="preserve">Provide the names and titles of the individuals expected to work on the CalVets </w:t>
      </w:r>
      <w:r w:rsidR="005E2D20">
        <w:t>D</w:t>
      </w:r>
      <w:r>
        <w:t xml:space="preserve">isclosure </w:t>
      </w:r>
      <w:r w:rsidR="005E2D20">
        <w:t>C</w:t>
      </w:r>
      <w:r>
        <w:t xml:space="preserve">ounsel </w:t>
      </w:r>
      <w:r w:rsidR="005E2D20">
        <w:t>A</w:t>
      </w:r>
      <w:r>
        <w:t>ssignment</w:t>
      </w:r>
      <w:r w:rsidR="005E2D20">
        <w:t xml:space="preserve">. </w:t>
      </w:r>
      <w:r>
        <w:t xml:space="preserve">Describe the role of </w:t>
      </w:r>
      <w:r>
        <w:lastRenderedPageBreak/>
        <w:t>each individual on the team and the anticipated division of duties among partner, associates, and paralegals.  Please attach a detailed resume (similar to one that would be submitted for employment) for each team member.  If any additional lawyers within the firm may be available for consultation, even though they are not assigned to work with the team, please identify and describe their specialized expertise.</w:t>
      </w:r>
    </w:p>
    <w:p w14:paraId="37003862" w14:textId="77777777" w:rsidR="00C717E0" w:rsidRDefault="00C717E0" w:rsidP="000523A1">
      <w:pPr>
        <w:pStyle w:val="ListParagraph"/>
        <w:ind w:left="2880"/>
        <w:jc w:val="both"/>
      </w:pPr>
    </w:p>
    <w:p w14:paraId="2B975418" w14:textId="60955414" w:rsidR="009332DE" w:rsidRDefault="00C717E0" w:rsidP="00C717E0">
      <w:pPr>
        <w:pStyle w:val="ListParagraph"/>
        <w:numPr>
          <w:ilvl w:val="0"/>
          <w:numId w:val="70"/>
        </w:numPr>
        <w:ind w:left="2880" w:hanging="720"/>
        <w:jc w:val="both"/>
      </w:pPr>
      <w:r>
        <w:t xml:space="preserve">Describe the assigned individuals’ </w:t>
      </w:r>
      <w:r w:rsidR="005E2D20">
        <w:t xml:space="preserve">disclosure </w:t>
      </w:r>
      <w:r>
        <w:t xml:space="preserve">counsel experience with respect to single family and/or veterans housing bond financings since January 1, </w:t>
      </w:r>
      <w:r w:rsidR="005E2D20">
        <w:t>2019, that</w:t>
      </w:r>
      <w:r>
        <w:t xml:space="preserve"> </w:t>
      </w:r>
      <w:r w:rsidR="005E2D20">
        <w:t xml:space="preserve">best illustrate the firm’s qualifications, experience and ability to serve as disclosure counsel on the CalVet Disclosure Counsel Assignment. </w:t>
      </w:r>
    </w:p>
    <w:p w14:paraId="2238D1A2" w14:textId="77777777" w:rsidR="00C717E0" w:rsidRDefault="00C717E0" w:rsidP="000523A1">
      <w:pPr>
        <w:pStyle w:val="ListParagraph"/>
      </w:pPr>
    </w:p>
    <w:p w14:paraId="54AC04E2" w14:textId="58489064" w:rsidR="00C717E0" w:rsidRDefault="00C717E0" w:rsidP="00C717E0">
      <w:pPr>
        <w:pStyle w:val="ListParagraph"/>
        <w:numPr>
          <w:ilvl w:val="0"/>
          <w:numId w:val="70"/>
        </w:numPr>
        <w:ind w:left="2880" w:hanging="720"/>
        <w:jc w:val="both"/>
      </w:pPr>
      <w:r>
        <w:t>Describe the firm’s knowledge of CalVet’s bond program and provide any recommendations or considerations your firm believes would be important to the program.</w:t>
      </w:r>
    </w:p>
    <w:p w14:paraId="3E1FF479" w14:textId="77777777" w:rsidR="005E2D20" w:rsidRDefault="005E2D20" w:rsidP="000523A1">
      <w:pPr>
        <w:pStyle w:val="ListParagraph"/>
      </w:pPr>
    </w:p>
    <w:p w14:paraId="30AF9E5A" w14:textId="3602E28C" w:rsidR="005E2D20" w:rsidRDefault="005E2D20" w:rsidP="005E2D20">
      <w:pPr>
        <w:pStyle w:val="ListParagraph"/>
        <w:numPr>
          <w:ilvl w:val="0"/>
          <w:numId w:val="70"/>
        </w:numPr>
        <w:ind w:left="2880" w:hanging="720"/>
        <w:rPr>
          <w:bCs/>
        </w:rPr>
      </w:pPr>
      <w:r w:rsidRPr="009F7CDC">
        <w:rPr>
          <w:bCs/>
        </w:rPr>
        <w:t>Describe the firm’s procedures for keeping abreast of “best practices” in municipal bond disclosure and communicating those practices to its clients.</w:t>
      </w:r>
    </w:p>
    <w:p w14:paraId="7BAEA229" w14:textId="77777777" w:rsidR="005E2D20" w:rsidRPr="005E2D20" w:rsidRDefault="005E2D20" w:rsidP="000523A1">
      <w:pPr>
        <w:pStyle w:val="ListParagraph"/>
        <w:rPr>
          <w:bCs/>
        </w:rPr>
      </w:pPr>
    </w:p>
    <w:p w14:paraId="68870CDF" w14:textId="727D521C" w:rsidR="005E2D20" w:rsidRPr="000523A1" w:rsidRDefault="005E2D20" w:rsidP="005E2D20">
      <w:pPr>
        <w:pStyle w:val="ListParagraph"/>
        <w:numPr>
          <w:ilvl w:val="0"/>
          <w:numId w:val="70"/>
        </w:numPr>
        <w:ind w:left="2880" w:hanging="720"/>
        <w:jc w:val="both"/>
        <w:rPr>
          <w:b/>
        </w:rPr>
      </w:pPr>
      <w:r w:rsidRPr="009F7CDC">
        <w:t>Describe the firm’s experience training governmental officials on their disclosure obligations.</w:t>
      </w:r>
    </w:p>
    <w:p w14:paraId="4D09E310" w14:textId="77777777" w:rsidR="005E2D20" w:rsidRPr="000523A1" w:rsidRDefault="005E2D20" w:rsidP="000523A1">
      <w:pPr>
        <w:pStyle w:val="ListParagraph"/>
        <w:rPr>
          <w:b/>
        </w:rPr>
      </w:pPr>
    </w:p>
    <w:p w14:paraId="72D826D7" w14:textId="5BC75A68" w:rsidR="005E2D20" w:rsidRDefault="005E2D20" w:rsidP="004474C5">
      <w:pPr>
        <w:pStyle w:val="ListParagraph"/>
        <w:numPr>
          <w:ilvl w:val="0"/>
          <w:numId w:val="70"/>
        </w:numPr>
        <w:ind w:left="2880" w:hanging="720"/>
        <w:jc w:val="both"/>
      </w:pPr>
      <w:r w:rsidRPr="009F7CDC">
        <w:t xml:space="preserve">Describe any recommendations the firm has for the State </w:t>
      </w:r>
      <w:r>
        <w:t xml:space="preserve">and/or CalVet </w:t>
      </w:r>
      <w:r w:rsidRPr="009F7CDC">
        <w:t>to improve its disclosure practices.</w:t>
      </w:r>
    </w:p>
    <w:p w14:paraId="0954539A" w14:textId="77777777" w:rsidR="000B5539" w:rsidRPr="004D6F3A" w:rsidRDefault="000B5539" w:rsidP="000523A1">
      <w:pPr>
        <w:rPr>
          <w:bCs/>
        </w:rPr>
      </w:pPr>
    </w:p>
    <w:p w14:paraId="0317E249" w14:textId="77777777" w:rsidR="0093608B" w:rsidRPr="004D6F3A" w:rsidRDefault="00163143" w:rsidP="00DD0F42">
      <w:pPr>
        <w:pStyle w:val="ListParagraph"/>
        <w:numPr>
          <w:ilvl w:val="0"/>
          <w:numId w:val="43"/>
        </w:numPr>
        <w:ind w:left="1440" w:hanging="720"/>
        <w:rPr>
          <w:b/>
          <w:bCs/>
        </w:rPr>
      </w:pPr>
      <w:r w:rsidRPr="004D6F3A">
        <w:rPr>
          <w:b/>
          <w:bCs/>
        </w:rPr>
        <w:t>COMPENSATION</w:t>
      </w:r>
    </w:p>
    <w:p w14:paraId="63FAFFF4" w14:textId="76434032" w:rsidR="00B10FBB" w:rsidRDefault="00B10FBB" w:rsidP="00B10FBB">
      <w:pPr>
        <w:ind w:left="1440"/>
        <w:jc w:val="both"/>
      </w:pPr>
      <w:r>
        <w:t xml:space="preserve">Please submit fee proposals </w:t>
      </w:r>
      <w:r w:rsidRPr="004D6F3A">
        <w:t>for the GO/RAN Bond Counsel Assignment, GO Disclosure Counsel Assignment, Appendix A Disclosure Counsel Assignment</w:t>
      </w:r>
      <w:r>
        <w:t xml:space="preserve">, and/or CalVet Disclosure Assignment by completing </w:t>
      </w:r>
      <w:r w:rsidRPr="00C31FF3">
        <w:rPr>
          <w:b/>
          <w:bCs/>
        </w:rPr>
        <w:t>Attachment A, Fee Matrix</w:t>
      </w:r>
      <w:r>
        <w:t>.</w:t>
      </w:r>
    </w:p>
    <w:p w14:paraId="2F3A15F3" w14:textId="77777777" w:rsidR="00B10FBB" w:rsidRDefault="00B10FBB" w:rsidP="00B10FBB">
      <w:pPr>
        <w:ind w:left="1440"/>
        <w:jc w:val="both"/>
      </w:pPr>
    </w:p>
    <w:p w14:paraId="6268CABD" w14:textId="77777777" w:rsidR="00B10FBB" w:rsidRDefault="00B10FBB" w:rsidP="00B10FBB">
      <w:pPr>
        <w:ind w:left="1440"/>
        <w:jc w:val="both"/>
      </w:pPr>
      <w:r>
        <w:t xml:space="preserve">Although a flat fee for some bond and disclosure counsel services may be appropriate in certain circumstances, the STO’s preference, predominately, is to utilize an hourly rate structure for compensation of counsel services.  As such, the STO will consider proposals that are based on flat fee compensation, hourly rate compensation, or a hybrid approach that utilizes a flat fee covering specified services/projects and an hourly rate for other specified services.    </w:t>
      </w:r>
    </w:p>
    <w:p w14:paraId="6936AF17" w14:textId="77777777" w:rsidR="00B10FBB" w:rsidRDefault="00B10FBB" w:rsidP="00B10FBB">
      <w:pPr>
        <w:ind w:left="1440"/>
        <w:jc w:val="both"/>
      </w:pPr>
    </w:p>
    <w:p w14:paraId="71E7FDEA" w14:textId="77777777" w:rsidR="00B10FBB" w:rsidRDefault="00B10FBB" w:rsidP="00B10FBB">
      <w:pPr>
        <w:ind w:left="1440"/>
        <w:jc w:val="both"/>
      </w:pPr>
      <w:r>
        <w:t xml:space="preserve">All proposals for flat fee compensation, hourly rate compensation, or a combination thereof shall indicate clearly, what services are covered by each type of compensation.  Fees shall be valid from July 1, 2023 through June 30, 2026.  </w:t>
      </w:r>
    </w:p>
    <w:p w14:paraId="6C04DDCF" w14:textId="77777777" w:rsidR="00B10FBB" w:rsidRDefault="00B10FBB" w:rsidP="00B10FBB">
      <w:pPr>
        <w:ind w:left="1440"/>
        <w:jc w:val="both"/>
      </w:pPr>
    </w:p>
    <w:p w14:paraId="11BE4C4F" w14:textId="0FF561B1" w:rsidR="00B10FBB" w:rsidRDefault="00B10FBB" w:rsidP="00B10FBB">
      <w:pPr>
        <w:ind w:left="1440"/>
        <w:jc w:val="both"/>
      </w:pPr>
      <w:r>
        <w:lastRenderedPageBreak/>
        <w:t xml:space="preserve">Costs incurred for </w:t>
      </w:r>
      <w:r w:rsidR="00B2606E">
        <w:t xml:space="preserve">pre-approved </w:t>
      </w:r>
      <w:r>
        <w:t xml:space="preserve">travel and other travel related expenses will be reimbursed in accordance with </w:t>
      </w:r>
      <w:r w:rsidR="00B2606E">
        <w:t xml:space="preserve">current State policy for Excluded Employees. See </w:t>
      </w:r>
      <w:hyperlink r:id="rId15" w:history="1">
        <w:r w:rsidR="00B2606E" w:rsidRPr="003A0E06">
          <w:rPr>
            <w:rStyle w:val="Hyperlink"/>
          </w:rPr>
          <w:t>https://www.calhr.ca.gov/employees/Pages/travel-reimbursements.aspx</w:t>
        </w:r>
      </w:hyperlink>
      <w:r w:rsidR="00B2606E">
        <w:t xml:space="preserve">.  </w:t>
      </w:r>
    </w:p>
    <w:p w14:paraId="53B1749A" w14:textId="77777777" w:rsidR="00ED3D09" w:rsidRDefault="00ED3D09" w:rsidP="00B10FBB">
      <w:pPr>
        <w:ind w:left="1440"/>
        <w:jc w:val="both"/>
      </w:pPr>
    </w:p>
    <w:p w14:paraId="5232A59B" w14:textId="178B76A6" w:rsidR="00880D73" w:rsidRPr="004D6F3A" w:rsidRDefault="00985D1E" w:rsidP="00DD0F42">
      <w:pPr>
        <w:pStyle w:val="ListParagraph"/>
        <w:numPr>
          <w:ilvl w:val="0"/>
          <w:numId w:val="44"/>
        </w:numPr>
        <w:ind w:left="1440" w:hanging="720"/>
        <w:rPr>
          <w:b/>
        </w:rPr>
      </w:pPr>
      <w:r w:rsidRPr="004D6F3A">
        <w:rPr>
          <w:b/>
          <w:bCs/>
        </w:rPr>
        <w:t xml:space="preserve">LEGAL INFORMATION AND </w:t>
      </w:r>
      <w:r w:rsidR="00880D73" w:rsidRPr="004D6F3A">
        <w:rPr>
          <w:b/>
          <w:bCs/>
        </w:rPr>
        <w:t xml:space="preserve">CONFLICTS OF INTEREST </w:t>
      </w:r>
    </w:p>
    <w:p w14:paraId="7C080B70" w14:textId="77777777" w:rsidR="00880D73" w:rsidRPr="004D6F3A" w:rsidRDefault="00880D73" w:rsidP="00DD0F42">
      <w:pPr>
        <w:autoSpaceDE w:val="0"/>
        <w:autoSpaceDN w:val="0"/>
        <w:adjustRightInd w:val="0"/>
        <w:ind w:left="1440"/>
      </w:pPr>
      <w:r w:rsidRPr="004D6F3A">
        <w:t>Please complete the following:</w:t>
      </w:r>
    </w:p>
    <w:p w14:paraId="5BABC99D" w14:textId="77777777" w:rsidR="00880D73" w:rsidRPr="004D6F3A" w:rsidRDefault="00880D73" w:rsidP="00880D73">
      <w:pPr>
        <w:tabs>
          <w:tab w:val="num" w:pos="1800"/>
          <w:tab w:val="left" w:pos="2547"/>
        </w:tabs>
        <w:autoSpaceDE w:val="0"/>
        <w:autoSpaceDN w:val="0"/>
        <w:adjustRightInd w:val="0"/>
        <w:ind w:left="1080" w:hanging="360"/>
        <w:jc w:val="both"/>
      </w:pPr>
    </w:p>
    <w:p w14:paraId="3D33AD8C" w14:textId="04CFF0D1" w:rsidR="00C717E0" w:rsidRDefault="00985D1E" w:rsidP="00C717E0">
      <w:pPr>
        <w:pStyle w:val="ListParagraph"/>
        <w:numPr>
          <w:ilvl w:val="6"/>
          <w:numId w:val="41"/>
        </w:numPr>
        <w:autoSpaceDE w:val="0"/>
        <w:autoSpaceDN w:val="0"/>
        <w:adjustRightInd w:val="0"/>
        <w:ind w:left="2160" w:hanging="720"/>
        <w:jc w:val="both"/>
      </w:pPr>
      <w:r w:rsidRPr="004D6F3A">
        <w:t>Information on any recent or upcoming change in legal structure and/or ownership of the firm</w:t>
      </w:r>
      <w:r w:rsidR="0078678C">
        <w:t>.</w:t>
      </w:r>
    </w:p>
    <w:p w14:paraId="23915CF8" w14:textId="77777777" w:rsidR="00C717E0" w:rsidRDefault="00C717E0" w:rsidP="000523A1">
      <w:pPr>
        <w:pStyle w:val="ListParagraph"/>
        <w:autoSpaceDE w:val="0"/>
        <w:autoSpaceDN w:val="0"/>
        <w:adjustRightInd w:val="0"/>
        <w:ind w:left="2160"/>
        <w:jc w:val="both"/>
      </w:pPr>
    </w:p>
    <w:p w14:paraId="2D53313C" w14:textId="5FC13147" w:rsidR="00C717E0" w:rsidRDefault="00C717E0" w:rsidP="000523A1">
      <w:pPr>
        <w:pStyle w:val="ListParagraph"/>
        <w:numPr>
          <w:ilvl w:val="6"/>
          <w:numId w:val="41"/>
        </w:numPr>
        <w:ind w:left="2160" w:hanging="720"/>
        <w:jc w:val="both"/>
      </w:pPr>
      <w:r w:rsidRPr="000523A1">
        <w:rPr>
          <w:b/>
          <w:bCs/>
        </w:rPr>
        <w:t>Conflicts of Interest</w:t>
      </w:r>
      <w:r w:rsidRPr="00C717E0">
        <w:t xml:space="preserve">:  On a separate attachment, describe any existing or potential conflict of interest arising from your relationships with or representation of other parties that should be considered as a factor in determining your objectivity, and provide to the </w:t>
      </w:r>
      <w:r w:rsidR="00C27375">
        <w:t>STO</w:t>
      </w:r>
      <w:r w:rsidRPr="00C717E0">
        <w:t xml:space="preserve"> sufficient facts, legal implications, and possible effects in order for the </w:t>
      </w:r>
      <w:r w:rsidR="00C27375">
        <w:t>STO</w:t>
      </w:r>
      <w:r w:rsidRPr="00C717E0">
        <w:t xml:space="preserve"> to appreciate the significance of each potential conflict and grant an appropriate waiver, if necessary.  </w:t>
      </w:r>
      <w:r w:rsidRPr="000523A1">
        <w:rPr>
          <w:i/>
          <w:iCs/>
        </w:rPr>
        <w:t>Responses to the conflict question do not count toward the total page maximum requirement</w:t>
      </w:r>
      <w:r>
        <w:t>.</w:t>
      </w:r>
    </w:p>
    <w:p w14:paraId="319924AC" w14:textId="4269A7C2" w:rsidR="00985D1E" w:rsidRPr="004D6F3A" w:rsidRDefault="00985D1E"/>
    <w:p w14:paraId="5B2096E1" w14:textId="77777777" w:rsidR="00880D73" w:rsidRPr="004D6F3A" w:rsidRDefault="00880D73" w:rsidP="00985D1E">
      <w:pPr>
        <w:tabs>
          <w:tab w:val="num" w:pos="1440"/>
        </w:tabs>
        <w:jc w:val="both"/>
      </w:pPr>
    </w:p>
    <w:p w14:paraId="0C490FA8" w14:textId="77777777" w:rsidR="00FE66C8" w:rsidRPr="004D6F3A" w:rsidRDefault="00FE66C8" w:rsidP="00066332">
      <w:pPr>
        <w:pStyle w:val="Heading5"/>
        <w:numPr>
          <w:ilvl w:val="0"/>
          <w:numId w:val="48"/>
        </w:numPr>
        <w:tabs>
          <w:tab w:val="left" w:pos="720"/>
        </w:tabs>
        <w:rPr>
          <w:rFonts w:ascii="Times New Roman" w:hAnsi="Times New Roman"/>
          <w:u w:val="single"/>
        </w:rPr>
      </w:pPr>
      <w:r w:rsidRPr="004D6F3A">
        <w:rPr>
          <w:rFonts w:ascii="Times New Roman" w:hAnsi="Times New Roman"/>
          <w:u w:val="single"/>
        </w:rPr>
        <w:t>DELIVERY</w:t>
      </w:r>
    </w:p>
    <w:p w14:paraId="69EA524E" w14:textId="07C43B0E" w:rsidR="0093608B" w:rsidRPr="004D6F3A" w:rsidRDefault="002A74D8">
      <w:pPr>
        <w:tabs>
          <w:tab w:val="left" w:pos="1071"/>
        </w:tabs>
        <w:ind w:left="720"/>
        <w:jc w:val="both"/>
      </w:pPr>
      <w:r w:rsidRPr="004D6F3A">
        <w:t>The STO will re</w:t>
      </w:r>
      <w:r w:rsidR="00985D1E" w:rsidRPr="004D6F3A">
        <w:t>ject</w:t>
      </w:r>
      <w:r w:rsidRPr="004D6F3A">
        <w:t xml:space="preserve"> any incomplete </w:t>
      </w:r>
      <w:r w:rsidR="00DC394F" w:rsidRPr="004D6F3A">
        <w:t>SOQs</w:t>
      </w:r>
      <w:r w:rsidRPr="004D6F3A">
        <w:t xml:space="preserve">. </w:t>
      </w:r>
      <w:r w:rsidR="00DC394F" w:rsidRPr="004D6F3A">
        <w:t xml:space="preserve">The STO accepts </w:t>
      </w:r>
      <w:r w:rsidR="00FE66C8" w:rsidRPr="004D6F3A">
        <w:t>S</w:t>
      </w:r>
      <w:r w:rsidRPr="004D6F3A">
        <w:t>OQ</w:t>
      </w:r>
      <w:r w:rsidR="00FE66C8" w:rsidRPr="004D6F3A">
        <w:t xml:space="preserve">s by </w:t>
      </w:r>
      <w:r w:rsidR="00FE66C8" w:rsidRPr="004D6F3A">
        <w:rPr>
          <w:b/>
        </w:rPr>
        <w:t>e-mail only</w:t>
      </w:r>
      <w:r w:rsidR="00FE66C8" w:rsidRPr="004D6F3A">
        <w:t>.  S</w:t>
      </w:r>
      <w:r w:rsidRPr="004D6F3A">
        <w:t>OQs</w:t>
      </w:r>
      <w:r w:rsidR="00FE66C8" w:rsidRPr="004D6F3A">
        <w:t xml:space="preserve"> </w:t>
      </w:r>
      <w:r w:rsidR="00303ED9" w:rsidRPr="004D6F3A">
        <w:t xml:space="preserve">are due </w:t>
      </w:r>
      <w:r w:rsidR="002075AD" w:rsidRPr="004D6F3A">
        <w:t>to the STO by</w:t>
      </w:r>
      <w:r w:rsidR="00303ED9" w:rsidRPr="004D6F3A">
        <w:t xml:space="preserve"> 12:00 p.m.</w:t>
      </w:r>
      <w:r w:rsidR="00FE66C8" w:rsidRPr="004D6F3A">
        <w:t xml:space="preserve"> (</w:t>
      </w:r>
      <w:r w:rsidR="00B2606E">
        <w:t>Pacific</w:t>
      </w:r>
      <w:r w:rsidR="00B2606E" w:rsidRPr="004D6F3A">
        <w:t xml:space="preserve"> </w:t>
      </w:r>
      <w:r w:rsidR="00066332" w:rsidRPr="004D6F3A">
        <w:t>Time</w:t>
      </w:r>
      <w:r w:rsidR="00FE66C8" w:rsidRPr="004D6F3A">
        <w:t xml:space="preserve">) on </w:t>
      </w:r>
      <w:r w:rsidR="00E73EA8">
        <w:t xml:space="preserve">May </w:t>
      </w:r>
      <w:r w:rsidR="00BA5D8F">
        <w:t>31</w:t>
      </w:r>
      <w:r w:rsidR="00BA7A78" w:rsidRPr="004D6F3A">
        <w:t>, 20</w:t>
      </w:r>
      <w:r w:rsidR="005168D9">
        <w:t>23</w:t>
      </w:r>
      <w:r w:rsidR="00BA7A78" w:rsidRPr="004D6F3A">
        <w:t>.</w:t>
      </w:r>
    </w:p>
    <w:p w14:paraId="5D6475F7" w14:textId="77777777" w:rsidR="00402067" w:rsidRPr="004D6F3A" w:rsidRDefault="00402067" w:rsidP="0000716A">
      <w:pPr>
        <w:tabs>
          <w:tab w:val="left" w:pos="1071"/>
          <w:tab w:val="left" w:pos="1476"/>
        </w:tabs>
        <w:ind w:left="1080"/>
        <w:jc w:val="both"/>
      </w:pPr>
    </w:p>
    <w:p w14:paraId="720E79B1" w14:textId="77777777" w:rsidR="0093608B" w:rsidRPr="004D6F3A" w:rsidRDefault="0024371D" w:rsidP="00302B35">
      <w:pPr>
        <w:numPr>
          <w:ilvl w:val="4"/>
          <w:numId w:val="54"/>
        </w:numPr>
        <w:ind w:left="1440" w:hanging="720"/>
        <w:jc w:val="both"/>
        <w:rPr>
          <w:b/>
          <w:u w:val="single"/>
        </w:rPr>
      </w:pPr>
      <w:r w:rsidRPr="004D6F3A">
        <w:rPr>
          <w:b/>
          <w:u w:val="single"/>
        </w:rPr>
        <w:t>E-MAIL DELIVERIES</w:t>
      </w:r>
    </w:p>
    <w:p w14:paraId="305F69E5" w14:textId="77777777" w:rsidR="0093608B" w:rsidRPr="004D6F3A" w:rsidRDefault="0024371D" w:rsidP="00302B35">
      <w:pPr>
        <w:numPr>
          <w:ilvl w:val="0"/>
          <w:numId w:val="55"/>
        </w:numPr>
        <w:ind w:left="2160" w:hanging="720"/>
        <w:jc w:val="both"/>
      </w:pPr>
      <w:r w:rsidRPr="004D6F3A">
        <w:t>Address:</w:t>
      </w:r>
    </w:p>
    <w:p w14:paraId="576E53ED" w14:textId="77777777" w:rsidR="00FE66C8" w:rsidRPr="004D6F3A" w:rsidRDefault="0024371D" w:rsidP="0024371D">
      <w:pPr>
        <w:ind w:left="2160"/>
        <w:jc w:val="both"/>
      </w:pPr>
      <w:r w:rsidRPr="004D6F3A">
        <w:t xml:space="preserve">To:  </w:t>
      </w:r>
      <w:r w:rsidR="002A74D8" w:rsidRPr="004D6F3A">
        <w:t>InvestorRelations</w:t>
      </w:r>
      <w:r w:rsidR="00FE66C8" w:rsidRPr="004D6F3A">
        <w:t>@treasurer.ca.gov</w:t>
      </w:r>
    </w:p>
    <w:p w14:paraId="3E968DDB" w14:textId="5A68AC7B" w:rsidR="00FE66C8" w:rsidRPr="004D6F3A" w:rsidRDefault="002A74D8" w:rsidP="0024371D">
      <w:pPr>
        <w:ind w:left="2160"/>
        <w:jc w:val="both"/>
      </w:pPr>
      <w:r w:rsidRPr="004D6F3A">
        <w:t>Subject:  FIRM NAME-</w:t>
      </w:r>
      <w:r w:rsidR="00B10FBB">
        <w:t xml:space="preserve">2023 </w:t>
      </w:r>
      <w:r w:rsidRPr="004D6F3A">
        <w:t>Supplemental Counsel SOQ</w:t>
      </w:r>
    </w:p>
    <w:p w14:paraId="30CCCD79" w14:textId="77777777" w:rsidR="00BA4E4A" w:rsidRPr="004D6F3A" w:rsidRDefault="00BA4E4A" w:rsidP="008517C6">
      <w:pPr>
        <w:tabs>
          <w:tab w:val="left" w:pos="1476"/>
        </w:tabs>
        <w:ind w:left="720"/>
        <w:jc w:val="both"/>
      </w:pPr>
    </w:p>
    <w:p w14:paraId="3BF3564D" w14:textId="77777777" w:rsidR="0024371D" w:rsidRPr="004D6F3A" w:rsidRDefault="0024371D" w:rsidP="00302B35">
      <w:pPr>
        <w:numPr>
          <w:ilvl w:val="0"/>
          <w:numId w:val="55"/>
        </w:numPr>
        <w:ind w:left="2160" w:hanging="720"/>
        <w:jc w:val="both"/>
      </w:pPr>
      <w:r w:rsidRPr="004D6F3A">
        <w:t>Electronic deliveries must be in Adobe Acrobat PDF format.</w:t>
      </w:r>
    </w:p>
    <w:p w14:paraId="01429C6C" w14:textId="77777777" w:rsidR="0024371D" w:rsidRPr="004D6F3A" w:rsidRDefault="0024371D" w:rsidP="00302B35">
      <w:pPr>
        <w:ind w:left="2160" w:hanging="720"/>
        <w:jc w:val="both"/>
      </w:pPr>
    </w:p>
    <w:p w14:paraId="7377838B" w14:textId="67A60173" w:rsidR="002E3577" w:rsidRPr="004D6F3A" w:rsidRDefault="00FE66C8" w:rsidP="00302B35">
      <w:pPr>
        <w:numPr>
          <w:ilvl w:val="0"/>
          <w:numId w:val="55"/>
        </w:numPr>
        <w:ind w:left="2160" w:hanging="720"/>
        <w:jc w:val="both"/>
      </w:pPr>
      <w:r w:rsidRPr="004D6F3A">
        <w:t>Please c</w:t>
      </w:r>
      <w:r w:rsidR="002A74D8" w:rsidRPr="004D6F3A">
        <w:t>ontact</w:t>
      </w:r>
      <w:r w:rsidRPr="004D6F3A">
        <w:t xml:space="preserve"> </w:t>
      </w:r>
      <w:r w:rsidR="00495419">
        <w:t>Geoff Palmertree</w:t>
      </w:r>
      <w:r w:rsidR="009D041F" w:rsidRPr="004D6F3A">
        <w:t xml:space="preserve"> </w:t>
      </w:r>
      <w:r w:rsidRPr="004D6F3A">
        <w:t>at (916) 653-</w:t>
      </w:r>
      <w:r w:rsidR="00DE1A6E" w:rsidRPr="004D6F3A">
        <w:t>2</w:t>
      </w:r>
      <w:r w:rsidR="00495419">
        <w:t>440</w:t>
      </w:r>
      <w:r w:rsidRPr="004D6F3A">
        <w:t xml:space="preserve"> if you do not receive an e-mail confirming </w:t>
      </w:r>
      <w:r w:rsidR="00C86BD8" w:rsidRPr="004D6F3A">
        <w:t xml:space="preserve">receipt of </w:t>
      </w:r>
      <w:r w:rsidR="00303ED9" w:rsidRPr="004D6F3A">
        <w:t xml:space="preserve">the firm’s </w:t>
      </w:r>
      <w:r w:rsidR="007102BA" w:rsidRPr="004D6F3A">
        <w:t>SOQ</w:t>
      </w:r>
      <w:r w:rsidRPr="004D6F3A">
        <w:t xml:space="preserve">.  </w:t>
      </w:r>
    </w:p>
    <w:p w14:paraId="4AFE610F" w14:textId="77777777" w:rsidR="002E3577" w:rsidRPr="004D6F3A" w:rsidRDefault="002E3577" w:rsidP="002E3577">
      <w:pPr>
        <w:pStyle w:val="ListParagraph"/>
      </w:pPr>
    </w:p>
    <w:p w14:paraId="1BDE61AE" w14:textId="04722E6B" w:rsidR="00FE66C8" w:rsidRPr="004D6F3A" w:rsidRDefault="00303ED9" w:rsidP="002E3577">
      <w:pPr>
        <w:numPr>
          <w:ilvl w:val="1"/>
          <w:numId w:val="55"/>
        </w:numPr>
        <w:ind w:left="2880" w:hanging="720"/>
        <w:jc w:val="both"/>
      </w:pPr>
      <w:r w:rsidRPr="004D6F3A">
        <w:t xml:space="preserve">If the </w:t>
      </w:r>
      <w:r w:rsidR="00B72040" w:rsidRPr="004D6F3A">
        <w:t>f</w:t>
      </w:r>
      <w:r w:rsidR="00FE66C8" w:rsidRPr="004D6F3A">
        <w:t>irm do</w:t>
      </w:r>
      <w:r w:rsidRPr="004D6F3A">
        <w:t>es</w:t>
      </w:r>
      <w:r w:rsidR="00FE66C8" w:rsidRPr="004D6F3A">
        <w:t xml:space="preserve"> not receive </w:t>
      </w:r>
      <w:r w:rsidRPr="004D6F3A">
        <w:t xml:space="preserve">a receipt </w:t>
      </w:r>
      <w:r w:rsidR="00FE66C8" w:rsidRPr="004D6F3A">
        <w:t>confirmation</w:t>
      </w:r>
      <w:r w:rsidRPr="004D6F3A">
        <w:t>, the firm</w:t>
      </w:r>
      <w:r w:rsidR="00FE66C8" w:rsidRPr="004D6F3A">
        <w:t xml:space="preserve"> accept</w:t>
      </w:r>
      <w:r w:rsidRPr="004D6F3A">
        <w:t>s</w:t>
      </w:r>
      <w:r w:rsidR="00FE66C8" w:rsidRPr="004D6F3A">
        <w:t xml:space="preserve"> the risk that any </w:t>
      </w:r>
      <w:r w:rsidRPr="004D6F3A">
        <w:t>SOQ</w:t>
      </w:r>
      <w:r w:rsidR="00FE66C8" w:rsidRPr="004D6F3A">
        <w:t xml:space="preserve"> received </w:t>
      </w:r>
      <w:r w:rsidRPr="004D6F3A">
        <w:t xml:space="preserve">after 12:00 p.m. </w:t>
      </w:r>
      <w:r w:rsidR="00866924" w:rsidRPr="004D6F3A">
        <w:t xml:space="preserve">(California Time) </w:t>
      </w:r>
      <w:r w:rsidRPr="00C717E0">
        <w:t xml:space="preserve">on </w:t>
      </w:r>
      <w:r w:rsidR="00CE0827" w:rsidRPr="00C717E0">
        <w:t xml:space="preserve">May </w:t>
      </w:r>
      <w:r w:rsidR="00BA5D8F">
        <w:t>31</w:t>
      </w:r>
      <w:r w:rsidRPr="00C717E0">
        <w:t>, 20</w:t>
      </w:r>
      <w:r w:rsidR="005168D9" w:rsidRPr="00C717E0">
        <w:t>23</w:t>
      </w:r>
      <w:r w:rsidR="00FE66C8" w:rsidRPr="004D6F3A">
        <w:t xml:space="preserve"> will not be considered.</w:t>
      </w:r>
    </w:p>
    <w:p w14:paraId="3D5612E6" w14:textId="77777777" w:rsidR="00FE66C8" w:rsidRPr="004D6F3A" w:rsidRDefault="00FE66C8" w:rsidP="008517C6">
      <w:pPr>
        <w:tabs>
          <w:tab w:val="left" w:pos="1476"/>
        </w:tabs>
        <w:ind w:left="720"/>
        <w:jc w:val="both"/>
      </w:pPr>
    </w:p>
    <w:p w14:paraId="2A1FCE5C" w14:textId="77777777" w:rsidR="00866924" w:rsidRPr="004D6F3A" w:rsidRDefault="00866924" w:rsidP="008517C6">
      <w:pPr>
        <w:tabs>
          <w:tab w:val="left" w:pos="1476"/>
        </w:tabs>
        <w:ind w:left="720"/>
        <w:jc w:val="both"/>
      </w:pPr>
    </w:p>
    <w:p w14:paraId="213C59DE" w14:textId="77777777" w:rsidR="00866924" w:rsidRPr="004D6F3A" w:rsidRDefault="00866924" w:rsidP="00302B35">
      <w:pPr>
        <w:pStyle w:val="Heading4"/>
        <w:numPr>
          <w:ilvl w:val="0"/>
          <w:numId w:val="48"/>
        </w:numPr>
        <w:jc w:val="both"/>
        <w:rPr>
          <w:rFonts w:ascii="Times New Roman" w:hAnsi="Times New Roman"/>
          <w:u w:val="single"/>
        </w:rPr>
      </w:pPr>
      <w:r w:rsidRPr="004D6F3A">
        <w:rPr>
          <w:rFonts w:ascii="Times New Roman" w:hAnsi="Times New Roman"/>
          <w:u w:val="single"/>
        </w:rPr>
        <w:t>CALIFORNIA PUBLIC RECORDS ACT</w:t>
      </w:r>
    </w:p>
    <w:p w14:paraId="23506734" w14:textId="2BD25959" w:rsidR="000B5539" w:rsidRPr="0052300A" w:rsidRDefault="0052300A" w:rsidP="0052300A">
      <w:pPr>
        <w:pStyle w:val="Heading4"/>
        <w:ind w:firstLine="0"/>
        <w:jc w:val="both"/>
        <w:rPr>
          <w:rFonts w:ascii="Times New Roman" w:hAnsi="Times New Roman"/>
          <w:b w:val="0"/>
        </w:rPr>
      </w:pPr>
      <w:r w:rsidRPr="0052300A">
        <w:rPr>
          <w:rFonts w:ascii="Times New Roman" w:hAnsi="Times New Roman"/>
          <w:b w:val="0"/>
        </w:rPr>
        <w:t xml:space="preserve">The </w:t>
      </w:r>
      <w:r w:rsidR="00C27375">
        <w:rPr>
          <w:rFonts w:ascii="Times New Roman" w:hAnsi="Times New Roman"/>
          <w:b w:val="0"/>
        </w:rPr>
        <w:t>STO</w:t>
      </w:r>
      <w:r w:rsidRPr="0052300A">
        <w:rPr>
          <w:rFonts w:ascii="Times New Roman" w:hAnsi="Times New Roman"/>
          <w:b w:val="0"/>
        </w:rPr>
        <w:t xml:space="preserve"> will not return any material submitted in response to this solicitation and all material will become the property of the State. All material will be a public record subject to the disclosure provisions of the California Public Records Act. (Government Code, Section </w:t>
      </w:r>
      <w:r w:rsidR="0099383D">
        <w:rPr>
          <w:rFonts w:ascii="Times New Roman" w:hAnsi="Times New Roman"/>
          <w:b w:val="0"/>
        </w:rPr>
        <w:t>7920.000</w:t>
      </w:r>
      <w:r w:rsidRPr="0052300A">
        <w:rPr>
          <w:rFonts w:ascii="Times New Roman" w:hAnsi="Times New Roman"/>
          <w:b w:val="0"/>
        </w:rPr>
        <w:t>, et seq.)</w:t>
      </w:r>
    </w:p>
    <w:p w14:paraId="5FCCD136" w14:textId="77777777" w:rsidR="004474C5" w:rsidRPr="004D6F3A" w:rsidRDefault="004474C5" w:rsidP="00B72040"/>
    <w:p w14:paraId="69DAEE9B" w14:textId="655FC318" w:rsidR="00B671BA" w:rsidRDefault="00B671BA">
      <w:pPr>
        <w:rPr>
          <w:b/>
          <w:bCs/>
          <w:u w:val="single"/>
        </w:rPr>
      </w:pPr>
    </w:p>
    <w:p w14:paraId="501CC3CA" w14:textId="17D1E215" w:rsidR="00FE66C8" w:rsidRPr="004D6F3A" w:rsidRDefault="00FE66C8" w:rsidP="00066332">
      <w:pPr>
        <w:pStyle w:val="Heading4"/>
        <w:numPr>
          <w:ilvl w:val="0"/>
          <w:numId w:val="48"/>
        </w:numPr>
        <w:rPr>
          <w:rFonts w:ascii="Times New Roman" w:hAnsi="Times New Roman"/>
          <w:u w:val="single"/>
        </w:rPr>
      </w:pPr>
      <w:r w:rsidRPr="004D6F3A">
        <w:rPr>
          <w:rFonts w:ascii="Times New Roman" w:hAnsi="Times New Roman"/>
          <w:u w:val="single"/>
        </w:rPr>
        <w:lastRenderedPageBreak/>
        <w:t>EVALUATION OF QUALIFICATIONS</w:t>
      </w:r>
    </w:p>
    <w:p w14:paraId="7A8FEA3B" w14:textId="77777777" w:rsidR="00FE66C8" w:rsidRPr="004D6F3A" w:rsidRDefault="007102BA" w:rsidP="00C86BD8">
      <w:pPr>
        <w:ind w:left="720"/>
        <w:jc w:val="both"/>
      </w:pPr>
      <w:r w:rsidRPr="004D6F3A">
        <w:t>SOQs</w:t>
      </w:r>
      <w:r w:rsidR="00FE66C8" w:rsidRPr="004D6F3A">
        <w:t xml:space="preserve"> will be evaluated based on the following criteria (not listed in order of importance):</w:t>
      </w:r>
    </w:p>
    <w:p w14:paraId="7E19CF11" w14:textId="77777777" w:rsidR="00FE66C8" w:rsidRPr="004D6F3A" w:rsidRDefault="00FE66C8" w:rsidP="0000716A">
      <w:pPr>
        <w:ind w:left="720" w:hanging="720"/>
        <w:jc w:val="both"/>
      </w:pPr>
    </w:p>
    <w:p w14:paraId="3F29C646" w14:textId="77777777" w:rsidR="00866924" w:rsidRPr="004D6F3A" w:rsidRDefault="00866924" w:rsidP="00866924">
      <w:pPr>
        <w:numPr>
          <w:ilvl w:val="0"/>
          <w:numId w:val="6"/>
        </w:numPr>
        <w:tabs>
          <w:tab w:val="clear" w:pos="3600"/>
        </w:tabs>
        <w:ind w:left="1440" w:hanging="720"/>
        <w:jc w:val="both"/>
      </w:pPr>
      <w:r w:rsidRPr="004D6F3A">
        <w:t>Satisfaction of minimum qualifications;</w:t>
      </w:r>
    </w:p>
    <w:p w14:paraId="40A83216" w14:textId="77777777" w:rsidR="00FE66C8" w:rsidRPr="004D6F3A" w:rsidRDefault="00FE66C8" w:rsidP="00866924">
      <w:pPr>
        <w:numPr>
          <w:ilvl w:val="0"/>
          <w:numId w:val="6"/>
        </w:numPr>
        <w:tabs>
          <w:tab w:val="clear" w:pos="3600"/>
        </w:tabs>
        <w:ind w:left="1440" w:hanging="720"/>
        <w:jc w:val="both"/>
      </w:pPr>
      <w:r w:rsidRPr="004D6F3A">
        <w:t>Qualifications</w:t>
      </w:r>
      <w:r w:rsidR="006053BA" w:rsidRPr="004D6F3A">
        <w:t>, depth</w:t>
      </w:r>
      <w:r w:rsidR="00303ED9" w:rsidRPr="004D6F3A">
        <w:t>,</w:t>
      </w:r>
      <w:r w:rsidRPr="004D6F3A">
        <w:t xml:space="preserve"> and experience of the firm</w:t>
      </w:r>
      <w:r w:rsidR="0000716A" w:rsidRPr="004D6F3A">
        <w:t xml:space="preserve"> and the ability to provide the requested services</w:t>
      </w:r>
      <w:r w:rsidR="007102BA" w:rsidRPr="004D6F3A">
        <w:t>;</w:t>
      </w:r>
    </w:p>
    <w:p w14:paraId="0F965AD9" w14:textId="7924CEAC" w:rsidR="00FE66C8" w:rsidRPr="004D6F3A" w:rsidRDefault="00FE66C8" w:rsidP="00866924">
      <w:pPr>
        <w:numPr>
          <w:ilvl w:val="0"/>
          <w:numId w:val="6"/>
        </w:numPr>
        <w:tabs>
          <w:tab w:val="clear" w:pos="3600"/>
        </w:tabs>
        <w:ind w:left="1440" w:hanging="720"/>
        <w:jc w:val="both"/>
      </w:pPr>
      <w:r w:rsidRPr="004D6F3A">
        <w:t>Relevant background</w:t>
      </w:r>
      <w:r w:rsidR="0000716A" w:rsidRPr="004D6F3A">
        <w:t xml:space="preserve"> and qualifications</w:t>
      </w:r>
      <w:r w:rsidRPr="004D6F3A">
        <w:t xml:space="preserve"> of the </w:t>
      </w:r>
      <w:r w:rsidR="00BA4E4A" w:rsidRPr="004D6F3A">
        <w:t>personnel</w:t>
      </w:r>
      <w:r w:rsidR="009C15E4">
        <w:t xml:space="preserve"> </w:t>
      </w:r>
      <w:r w:rsidR="0000716A" w:rsidRPr="004D6F3A">
        <w:t xml:space="preserve">assigned to the </w:t>
      </w:r>
      <w:r w:rsidR="007102BA" w:rsidRPr="004D6F3A">
        <w:t>engagement</w:t>
      </w:r>
      <w:r w:rsidRPr="004D6F3A">
        <w:t xml:space="preserve"> as well as availability for the </w:t>
      </w:r>
      <w:r w:rsidR="0000716A" w:rsidRPr="004D6F3A">
        <w:t>assignment</w:t>
      </w:r>
      <w:r w:rsidR="007102BA" w:rsidRPr="004D6F3A">
        <w:t>;</w:t>
      </w:r>
    </w:p>
    <w:p w14:paraId="1627FD0B" w14:textId="77777777" w:rsidR="006053BA" w:rsidRPr="004D6F3A" w:rsidRDefault="006053BA" w:rsidP="00866924">
      <w:pPr>
        <w:numPr>
          <w:ilvl w:val="0"/>
          <w:numId w:val="6"/>
        </w:numPr>
        <w:tabs>
          <w:tab w:val="clear" w:pos="3600"/>
        </w:tabs>
        <w:ind w:left="1440" w:hanging="720"/>
        <w:jc w:val="both"/>
      </w:pPr>
      <w:r w:rsidRPr="004D6F3A">
        <w:t xml:space="preserve">Experience with similar </w:t>
      </w:r>
      <w:r w:rsidR="007102BA" w:rsidRPr="004D6F3A">
        <w:t>engagements</w:t>
      </w:r>
      <w:r w:rsidRPr="004D6F3A">
        <w:t>, part</w:t>
      </w:r>
      <w:r w:rsidR="007102BA" w:rsidRPr="004D6F3A">
        <w:t>icularly the assigned attorneys;</w:t>
      </w:r>
    </w:p>
    <w:p w14:paraId="17234A0B" w14:textId="77777777" w:rsidR="006053BA" w:rsidRPr="004D6F3A" w:rsidRDefault="006053BA" w:rsidP="00866924">
      <w:pPr>
        <w:numPr>
          <w:ilvl w:val="0"/>
          <w:numId w:val="6"/>
        </w:numPr>
        <w:tabs>
          <w:tab w:val="clear" w:pos="3600"/>
        </w:tabs>
        <w:ind w:left="1440" w:hanging="720"/>
        <w:jc w:val="both"/>
      </w:pPr>
      <w:r w:rsidRPr="004D6F3A">
        <w:t>Federal tax law experience and depth of assigned attorneys</w:t>
      </w:r>
      <w:r w:rsidR="00DE0746" w:rsidRPr="004D6F3A">
        <w:t xml:space="preserve"> (for GO</w:t>
      </w:r>
      <w:r w:rsidR="00BA4E4A" w:rsidRPr="004D6F3A">
        <w:t>/</w:t>
      </w:r>
      <w:r w:rsidR="00DE0746" w:rsidRPr="004D6F3A">
        <w:t xml:space="preserve">RAN </w:t>
      </w:r>
      <w:r w:rsidR="00610C9E" w:rsidRPr="004D6F3A">
        <w:t xml:space="preserve">Bond Counsel </w:t>
      </w:r>
      <w:r w:rsidR="00DE0746" w:rsidRPr="004D6F3A">
        <w:t>Assignment</w:t>
      </w:r>
      <w:r w:rsidR="005E483C" w:rsidRPr="004D6F3A">
        <w:t xml:space="preserve"> only</w:t>
      </w:r>
      <w:r w:rsidR="00DE0746" w:rsidRPr="004D6F3A">
        <w:t>)</w:t>
      </w:r>
      <w:r w:rsidR="007102BA" w:rsidRPr="004D6F3A">
        <w:t>;</w:t>
      </w:r>
    </w:p>
    <w:p w14:paraId="3FDC4091" w14:textId="14199379" w:rsidR="00FE66C8" w:rsidRPr="004D6F3A" w:rsidRDefault="00DE0746" w:rsidP="00866924">
      <w:pPr>
        <w:numPr>
          <w:ilvl w:val="0"/>
          <w:numId w:val="6"/>
        </w:numPr>
        <w:tabs>
          <w:tab w:val="clear" w:pos="3600"/>
        </w:tabs>
        <w:ind w:left="1440" w:hanging="720"/>
        <w:jc w:val="both"/>
      </w:pPr>
      <w:r w:rsidRPr="004D6F3A">
        <w:t xml:space="preserve">Knowledge of </w:t>
      </w:r>
      <w:r w:rsidR="00C27375">
        <w:t>applicable</w:t>
      </w:r>
      <w:r w:rsidR="00C27375" w:rsidRPr="004D6F3A">
        <w:t xml:space="preserve"> </w:t>
      </w:r>
      <w:r w:rsidR="00BA4E4A" w:rsidRPr="004D6F3A">
        <w:t xml:space="preserve">bond </w:t>
      </w:r>
      <w:r w:rsidRPr="004D6F3A">
        <w:t>programs and q</w:t>
      </w:r>
      <w:r w:rsidR="00FE66C8" w:rsidRPr="004D6F3A">
        <w:t>uality of program recom</w:t>
      </w:r>
      <w:r w:rsidR="007102BA" w:rsidRPr="004D6F3A">
        <w:t>mendations;</w:t>
      </w:r>
    </w:p>
    <w:p w14:paraId="7FA5D9D5" w14:textId="77777777" w:rsidR="007102BA" w:rsidRPr="004D6F3A" w:rsidRDefault="007102BA" w:rsidP="00866924">
      <w:pPr>
        <w:numPr>
          <w:ilvl w:val="0"/>
          <w:numId w:val="6"/>
        </w:numPr>
        <w:tabs>
          <w:tab w:val="clear" w:pos="3600"/>
        </w:tabs>
        <w:ind w:left="1440" w:hanging="720"/>
        <w:jc w:val="both"/>
      </w:pPr>
      <w:r w:rsidRPr="004D6F3A">
        <w:t>General quality of response; and</w:t>
      </w:r>
    </w:p>
    <w:p w14:paraId="18A2B472" w14:textId="16009000" w:rsidR="00FE66C8" w:rsidRPr="004D6F3A" w:rsidRDefault="00DE0746" w:rsidP="00866924">
      <w:pPr>
        <w:numPr>
          <w:ilvl w:val="0"/>
          <w:numId w:val="6"/>
        </w:numPr>
        <w:tabs>
          <w:tab w:val="clear" w:pos="3600"/>
        </w:tabs>
        <w:ind w:left="1440" w:hanging="720"/>
        <w:jc w:val="both"/>
      </w:pPr>
      <w:r w:rsidRPr="004D6F3A">
        <w:t>Fees and compensation will be an important factor in the evaluation of</w:t>
      </w:r>
      <w:r w:rsidR="00C27375">
        <w:t xml:space="preserve"> responses</w:t>
      </w:r>
      <w:r w:rsidRPr="004D6F3A">
        <w:t>. However</w:t>
      </w:r>
      <w:r w:rsidR="00610C9E" w:rsidRPr="004D6F3A">
        <w:t xml:space="preserve">, </w:t>
      </w:r>
      <w:r w:rsidR="00B10FBB">
        <w:t>the STO will select</w:t>
      </w:r>
      <w:r w:rsidR="00C27375">
        <w:t xml:space="preserve"> the</w:t>
      </w:r>
      <w:r w:rsidR="00B10FBB">
        <w:t xml:space="preserve"> </w:t>
      </w:r>
      <w:r w:rsidR="00610C9E" w:rsidRPr="004D6F3A">
        <w:t>firm</w:t>
      </w:r>
      <w:r w:rsidR="00C27375">
        <w:t>(</w:t>
      </w:r>
      <w:r w:rsidR="00610C9E" w:rsidRPr="004D6F3A">
        <w:t>s</w:t>
      </w:r>
      <w:r w:rsidR="00C27375">
        <w:t>)</w:t>
      </w:r>
      <w:r w:rsidR="00610C9E" w:rsidRPr="004D6F3A">
        <w:t xml:space="preserve"> that demonstrate</w:t>
      </w:r>
      <w:r w:rsidRPr="004D6F3A">
        <w:t xml:space="preserve"> the “best value” overall.</w:t>
      </w:r>
    </w:p>
    <w:p w14:paraId="256AA073" w14:textId="77777777" w:rsidR="006053BA" w:rsidRPr="004D6F3A" w:rsidRDefault="006053BA" w:rsidP="000523A1"/>
    <w:p w14:paraId="069A0F8E" w14:textId="77777777" w:rsidR="00FE66C8" w:rsidRPr="004D6F3A" w:rsidRDefault="00FE66C8" w:rsidP="00C86BD8">
      <w:pPr>
        <w:ind w:left="720"/>
        <w:jc w:val="both"/>
      </w:pPr>
      <w:r w:rsidRPr="004D6F3A">
        <w:t xml:space="preserve">The </w:t>
      </w:r>
      <w:r w:rsidR="0000716A" w:rsidRPr="004D6F3A">
        <w:t>STO</w:t>
      </w:r>
      <w:r w:rsidRPr="004D6F3A">
        <w:t xml:space="preserve"> reserves the right to:</w:t>
      </w:r>
    </w:p>
    <w:p w14:paraId="5F5381C4" w14:textId="77777777" w:rsidR="00FE66C8" w:rsidRPr="004D6F3A" w:rsidRDefault="00FE66C8" w:rsidP="00C86BD8">
      <w:pPr>
        <w:jc w:val="both"/>
      </w:pPr>
    </w:p>
    <w:p w14:paraId="21A62B79" w14:textId="77777777" w:rsidR="00FE66C8" w:rsidRPr="004D6F3A" w:rsidRDefault="00FE66C8" w:rsidP="00866924">
      <w:pPr>
        <w:numPr>
          <w:ilvl w:val="0"/>
          <w:numId w:val="7"/>
        </w:numPr>
        <w:tabs>
          <w:tab w:val="clear" w:pos="3600"/>
        </w:tabs>
        <w:ind w:left="1440" w:hanging="720"/>
        <w:jc w:val="both"/>
      </w:pPr>
      <w:r w:rsidRPr="004D6F3A">
        <w:t xml:space="preserve">Request an interview with, and require additional information from any firm prior to selection; </w:t>
      </w:r>
    </w:p>
    <w:p w14:paraId="7EDE90AD" w14:textId="77777777" w:rsidR="00FE66C8" w:rsidRPr="004D6F3A" w:rsidRDefault="00FE66C8" w:rsidP="00866924">
      <w:pPr>
        <w:numPr>
          <w:ilvl w:val="0"/>
          <w:numId w:val="7"/>
        </w:numPr>
        <w:tabs>
          <w:tab w:val="clear" w:pos="3600"/>
        </w:tabs>
        <w:ind w:left="1440" w:hanging="720"/>
        <w:jc w:val="both"/>
      </w:pPr>
      <w:r w:rsidRPr="004D6F3A">
        <w:t>Consider information about any firm from other sources in addition to the in</w:t>
      </w:r>
      <w:r w:rsidR="007102BA" w:rsidRPr="004D6F3A">
        <w:t>formation submitted by the firm; or</w:t>
      </w:r>
    </w:p>
    <w:p w14:paraId="3B61473E" w14:textId="5EDC424D" w:rsidR="00324580" w:rsidRPr="004D6F3A" w:rsidRDefault="00324580" w:rsidP="00866924">
      <w:pPr>
        <w:numPr>
          <w:ilvl w:val="0"/>
          <w:numId w:val="7"/>
        </w:numPr>
        <w:tabs>
          <w:tab w:val="clear" w:pos="3600"/>
        </w:tabs>
        <w:ind w:left="1440" w:hanging="720"/>
        <w:jc w:val="both"/>
      </w:pPr>
      <w:r w:rsidRPr="004D6F3A">
        <w:t xml:space="preserve">Negotiate a change in any element of the contract or any part of </w:t>
      </w:r>
      <w:r w:rsidR="00C27375">
        <w:t>this</w:t>
      </w:r>
      <w:r w:rsidR="004D0876">
        <w:t xml:space="preserve"> </w:t>
      </w:r>
      <w:r w:rsidRPr="004D6F3A">
        <w:t>RFQ</w:t>
      </w:r>
      <w:r w:rsidR="00B7279C" w:rsidRPr="004D6F3A">
        <w:t>.</w:t>
      </w:r>
    </w:p>
    <w:p w14:paraId="1DF6DBE2" w14:textId="77777777" w:rsidR="00C86BD8" w:rsidRPr="004D6F3A" w:rsidRDefault="00C86BD8"/>
    <w:p w14:paraId="7F2CAFFB" w14:textId="3AB49E3E" w:rsidR="00C717E0" w:rsidRDefault="00C717E0">
      <w:pPr>
        <w:rPr>
          <w:b/>
          <w:bCs/>
          <w:u w:val="single"/>
        </w:rPr>
      </w:pPr>
    </w:p>
    <w:p w14:paraId="134D9A53" w14:textId="71810F16" w:rsidR="00FE66C8" w:rsidRPr="004D6F3A" w:rsidRDefault="00FE66C8" w:rsidP="00066332">
      <w:pPr>
        <w:pStyle w:val="Heading2"/>
        <w:numPr>
          <w:ilvl w:val="0"/>
          <w:numId w:val="48"/>
        </w:numPr>
        <w:rPr>
          <w:rFonts w:ascii="Times New Roman" w:hAnsi="Times New Roman"/>
        </w:rPr>
      </w:pPr>
      <w:r w:rsidRPr="004D6F3A">
        <w:rPr>
          <w:rFonts w:ascii="Times New Roman" w:hAnsi="Times New Roman"/>
        </w:rPr>
        <w:t>REMOVAL FROM SERVICE</w:t>
      </w:r>
    </w:p>
    <w:p w14:paraId="23261BB3" w14:textId="77777777" w:rsidR="00FE66C8" w:rsidRPr="004D6F3A" w:rsidRDefault="00A40F2C" w:rsidP="00C86BD8">
      <w:pPr>
        <w:ind w:left="720"/>
        <w:jc w:val="both"/>
      </w:pPr>
      <w:r w:rsidRPr="004D6F3A">
        <w:t xml:space="preserve">The STO may </w:t>
      </w:r>
      <w:r w:rsidR="00FE66C8" w:rsidRPr="004D6F3A">
        <w:t>remove or suspend</w:t>
      </w:r>
      <w:r w:rsidRPr="004D6F3A">
        <w:t xml:space="preserve"> any firm </w:t>
      </w:r>
      <w:r w:rsidR="00FE66C8" w:rsidRPr="004D6F3A">
        <w:t>for reasons that include, but are not limited to, the following:</w:t>
      </w:r>
    </w:p>
    <w:p w14:paraId="080168B0" w14:textId="77777777" w:rsidR="00FE66C8" w:rsidRPr="004D6F3A" w:rsidRDefault="00FE66C8" w:rsidP="0000716A">
      <w:pPr>
        <w:ind w:left="720" w:hanging="720"/>
        <w:jc w:val="both"/>
      </w:pPr>
    </w:p>
    <w:p w14:paraId="3919E66E" w14:textId="77777777" w:rsidR="00FE66C8" w:rsidRPr="004D6F3A" w:rsidRDefault="00EB2CF8" w:rsidP="00302B35">
      <w:pPr>
        <w:numPr>
          <w:ilvl w:val="0"/>
          <w:numId w:val="8"/>
        </w:numPr>
        <w:tabs>
          <w:tab w:val="clear" w:pos="3600"/>
        </w:tabs>
        <w:ind w:left="1440" w:hanging="720"/>
        <w:jc w:val="both"/>
      </w:pPr>
      <w:r w:rsidRPr="004D6F3A">
        <w:t xml:space="preserve">Disqualification </w:t>
      </w:r>
      <w:r w:rsidR="005E483C" w:rsidRPr="004D6F3A">
        <w:t>due to</w:t>
      </w:r>
      <w:r w:rsidRPr="004D6F3A">
        <w:t xml:space="preserve"> legal proceedings</w:t>
      </w:r>
      <w:r w:rsidR="004B307D" w:rsidRPr="004D6F3A">
        <w:t xml:space="preserve">, </w:t>
      </w:r>
      <w:r w:rsidRPr="004D6F3A">
        <w:t>including actions, settlements or judgments, disciplinary actions by state or federal regulatory agencies, criminal indictments or convictions</w:t>
      </w:r>
      <w:r w:rsidR="00303ED9" w:rsidRPr="004D6F3A">
        <w:t>,</w:t>
      </w:r>
      <w:r w:rsidRPr="004D6F3A">
        <w:t xml:space="preserve"> and claims of fraud whether criminal or civil</w:t>
      </w:r>
      <w:r w:rsidR="00303ED9" w:rsidRPr="004D6F3A">
        <w:t>;</w:t>
      </w:r>
    </w:p>
    <w:p w14:paraId="31A9D02C" w14:textId="77777777" w:rsidR="004B307D" w:rsidRPr="004D6F3A" w:rsidRDefault="004B307D" w:rsidP="005F7423">
      <w:pPr>
        <w:numPr>
          <w:ilvl w:val="0"/>
          <w:numId w:val="8"/>
        </w:numPr>
        <w:tabs>
          <w:tab w:val="clear" w:pos="3600"/>
        </w:tabs>
        <w:ind w:left="1440" w:hanging="720"/>
        <w:jc w:val="both"/>
      </w:pPr>
      <w:r w:rsidRPr="004D6F3A">
        <w:t xml:space="preserve">Disqualification because of existing conflicts of interest outlined in </w:t>
      </w:r>
      <w:r w:rsidR="00010A50" w:rsidRPr="004D6F3A">
        <w:t xml:space="preserve">the firm’s response </w:t>
      </w:r>
      <w:r w:rsidRPr="004D6F3A">
        <w:t>or future conflicts of interest brought to the attention of the STO</w:t>
      </w:r>
      <w:r w:rsidR="00303ED9" w:rsidRPr="004D6F3A">
        <w:t>;</w:t>
      </w:r>
    </w:p>
    <w:p w14:paraId="5AA3E307" w14:textId="77777777" w:rsidR="00FE66C8" w:rsidRPr="004D6F3A" w:rsidRDefault="00FE66C8" w:rsidP="005F7423">
      <w:pPr>
        <w:numPr>
          <w:ilvl w:val="0"/>
          <w:numId w:val="8"/>
        </w:numPr>
        <w:tabs>
          <w:tab w:val="clear" w:pos="3600"/>
        </w:tabs>
        <w:ind w:left="1440" w:hanging="720"/>
        <w:jc w:val="both"/>
      </w:pPr>
      <w:r w:rsidRPr="004D6F3A">
        <w:t xml:space="preserve">Being the subject of disciplinary action by </w:t>
      </w:r>
      <w:r w:rsidR="00303ED9" w:rsidRPr="004D6F3A">
        <w:t xml:space="preserve">a </w:t>
      </w:r>
      <w:r w:rsidRPr="004D6F3A">
        <w:t>state or federal regulatory agenc</w:t>
      </w:r>
      <w:r w:rsidR="00303ED9" w:rsidRPr="004D6F3A">
        <w:t>y;</w:t>
      </w:r>
    </w:p>
    <w:p w14:paraId="5C49627A" w14:textId="42E8660E" w:rsidR="00E87493" w:rsidRPr="004D6F3A" w:rsidRDefault="00E87493" w:rsidP="005F7423">
      <w:pPr>
        <w:numPr>
          <w:ilvl w:val="0"/>
          <w:numId w:val="8"/>
        </w:numPr>
        <w:tabs>
          <w:tab w:val="clear" w:pos="3600"/>
        </w:tabs>
        <w:ind w:left="1440" w:hanging="720"/>
        <w:jc w:val="both"/>
      </w:pPr>
      <w:r w:rsidRPr="004D6F3A">
        <w:t>Failure to meet or continue to meet the minimum qualifications as described in section IV. MINIMUM QUALIFICATIONS</w:t>
      </w:r>
      <w:r w:rsidR="005E483C" w:rsidRPr="004D6F3A">
        <w:t xml:space="preserve"> of this RFQ</w:t>
      </w:r>
      <w:r w:rsidR="0078678C">
        <w:t>;</w:t>
      </w:r>
    </w:p>
    <w:p w14:paraId="0653C17C" w14:textId="77777777" w:rsidR="00FE66C8" w:rsidRPr="004D6F3A" w:rsidRDefault="00FE66C8" w:rsidP="005F7423">
      <w:pPr>
        <w:numPr>
          <w:ilvl w:val="0"/>
          <w:numId w:val="8"/>
        </w:numPr>
        <w:tabs>
          <w:tab w:val="clear" w:pos="3600"/>
        </w:tabs>
        <w:ind w:left="1440" w:hanging="720"/>
        <w:jc w:val="both"/>
      </w:pPr>
      <w:r w:rsidRPr="004D6F3A">
        <w:t>Filing for protection under federal or state bankruptcy laws</w:t>
      </w:r>
      <w:r w:rsidR="00303ED9" w:rsidRPr="004D6F3A">
        <w:t>; or</w:t>
      </w:r>
    </w:p>
    <w:p w14:paraId="56325962" w14:textId="77777777" w:rsidR="00FE66C8" w:rsidRPr="004D6F3A" w:rsidRDefault="00FE66C8" w:rsidP="005F7423">
      <w:pPr>
        <w:numPr>
          <w:ilvl w:val="0"/>
          <w:numId w:val="8"/>
        </w:numPr>
        <w:tabs>
          <w:tab w:val="clear" w:pos="3600"/>
        </w:tabs>
        <w:ind w:left="1440" w:hanging="720"/>
        <w:jc w:val="both"/>
      </w:pPr>
      <w:r w:rsidRPr="004D6F3A">
        <w:t xml:space="preserve">Failure to </w:t>
      </w:r>
      <w:r w:rsidR="005F7423" w:rsidRPr="004D6F3A">
        <w:t xml:space="preserve">meet or </w:t>
      </w:r>
      <w:r w:rsidRPr="004D6F3A">
        <w:t>continue to meet the minimum qualifications</w:t>
      </w:r>
      <w:r w:rsidR="005E483C" w:rsidRPr="004D6F3A">
        <w:t xml:space="preserve"> required for membership in the STO</w:t>
      </w:r>
      <w:r w:rsidR="00B72040" w:rsidRPr="004D6F3A">
        <w:t>'s</w:t>
      </w:r>
      <w:r w:rsidR="005E483C" w:rsidRPr="004D6F3A">
        <w:t xml:space="preserve"> B</w:t>
      </w:r>
      <w:r w:rsidR="005F7423" w:rsidRPr="004D6F3A">
        <w:t xml:space="preserve">ond </w:t>
      </w:r>
      <w:r w:rsidR="005E483C" w:rsidRPr="004D6F3A">
        <w:t>C</w:t>
      </w:r>
      <w:r w:rsidR="005F7423" w:rsidRPr="004D6F3A">
        <w:t xml:space="preserve">ounsel </w:t>
      </w:r>
      <w:r w:rsidR="005E483C" w:rsidRPr="004D6F3A">
        <w:t>P</w:t>
      </w:r>
      <w:r w:rsidR="005F7423" w:rsidRPr="004D6F3A">
        <w:t>ool</w:t>
      </w:r>
      <w:r w:rsidRPr="004D6F3A">
        <w:t>.</w:t>
      </w:r>
    </w:p>
    <w:p w14:paraId="4E89F76A" w14:textId="77777777" w:rsidR="009C15E4" w:rsidRPr="004D6F3A" w:rsidRDefault="009C15E4" w:rsidP="005F7423">
      <w:pPr>
        <w:jc w:val="both"/>
      </w:pPr>
    </w:p>
    <w:p w14:paraId="0A266239" w14:textId="56C2781B" w:rsidR="00A66797" w:rsidRDefault="00A66797">
      <w:pPr>
        <w:rPr>
          <w:b/>
          <w:bCs/>
          <w:u w:val="single"/>
        </w:rPr>
      </w:pPr>
    </w:p>
    <w:p w14:paraId="0EE10D04" w14:textId="77777777" w:rsidR="00B671BA" w:rsidRDefault="00B671BA">
      <w:pPr>
        <w:rPr>
          <w:b/>
          <w:bCs/>
          <w:u w:val="single"/>
        </w:rPr>
      </w:pPr>
      <w:r>
        <w:rPr>
          <w:u w:val="single"/>
        </w:rPr>
        <w:br w:type="page"/>
      </w:r>
    </w:p>
    <w:p w14:paraId="43A1265F" w14:textId="3DCD7A7E" w:rsidR="00FE66C8" w:rsidRPr="004D6F3A" w:rsidRDefault="00FE66C8" w:rsidP="00066332">
      <w:pPr>
        <w:pStyle w:val="Heading4"/>
        <w:numPr>
          <w:ilvl w:val="0"/>
          <w:numId w:val="48"/>
        </w:numPr>
        <w:rPr>
          <w:rFonts w:ascii="Times New Roman" w:hAnsi="Times New Roman"/>
          <w:u w:val="single"/>
        </w:rPr>
      </w:pPr>
      <w:r w:rsidRPr="004D6F3A">
        <w:rPr>
          <w:rFonts w:ascii="Times New Roman" w:hAnsi="Times New Roman"/>
          <w:u w:val="single"/>
        </w:rPr>
        <w:lastRenderedPageBreak/>
        <w:t>ONGOING COMPLIANCE WITH MINIMUM QUALIFICATIONS</w:t>
      </w:r>
    </w:p>
    <w:p w14:paraId="05EB406E" w14:textId="5BFA4528" w:rsidR="00424912" w:rsidRDefault="00FE66C8" w:rsidP="001C4575">
      <w:pPr>
        <w:pStyle w:val="Heading9"/>
        <w:ind w:left="720"/>
        <w:jc w:val="both"/>
        <w:rPr>
          <w:rFonts w:ascii="Times New Roman" w:hAnsi="Times New Roman"/>
          <w:b w:val="0"/>
          <w:bCs w:val="0"/>
        </w:rPr>
        <w:sectPr w:rsidR="00424912" w:rsidSect="00D34C62">
          <w:headerReference w:type="default" r:id="rId16"/>
          <w:footerReference w:type="first" r:id="rId17"/>
          <w:pgSz w:w="12240" w:h="15840" w:code="1"/>
          <w:pgMar w:top="1440" w:right="1440" w:bottom="1440" w:left="1440" w:header="720" w:footer="720" w:gutter="0"/>
          <w:pgNumType w:start="1"/>
          <w:cols w:space="720"/>
          <w:titlePg/>
          <w:docGrid w:linePitch="360"/>
        </w:sectPr>
      </w:pPr>
      <w:r w:rsidRPr="004D6F3A">
        <w:rPr>
          <w:rFonts w:ascii="Times New Roman" w:hAnsi="Times New Roman"/>
          <w:b w:val="0"/>
          <w:bCs w:val="0"/>
        </w:rPr>
        <w:t xml:space="preserve">To remain </w:t>
      </w:r>
      <w:r w:rsidR="00610C9E" w:rsidRPr="004D6F3A">
        <w:rPr>
          <w:rFonts w:ascii="Times New Roman" w:hAnsi="Times New Roman"/>
          <w:b w:val="0"/>
          <w:bCs w:val="0"/>
        </w:rPr>
        <w:t>engaged</w:t>
      </w:r>
      <w:r w:rsidRPr="004D6F3A">
        <w:rPr>
          <w:rFonts w:ascii="Times New Roman" w:hAnsi="Times New Roman"/>
          <w:b w:val="0"/>
          <w:bCs w:val="0"/>
        </w:rPr>
        <w:t xml:space="preserve">, firms must meet minimum qualifications as set forth in </w:t>
      </w:r>
      <w:r w:rsidR="00481005" w:rsidRPr="004D6F3A">
        <w:rPr>
          <w:rFonts w:ascii="Times New Roman" w:hAnsi="Times New Roman"/>
          <w:b w:val="0"/>
          <w:bCs w:val="0"/>
        </w:rPr>
        <w:t>section IV. MINIMUM QUALIFICATIONS</w:t>
      </w:r>
      <w:r w:rsidR="006F04C8">
        <w:rPr>
          <w:rFonts w:ascii="Times New Roman" w:hAnsi="Times New Roman"/>
          <w:b w:val="0"/>
          <w:bCs w:val="0"/>
        </w:rPr>
        <w:t xml:space="preserve"> at all times</w:t>
      </w:r>
      <w:r w:rsidR="00481005" w:rsidRPr="004D6F3A">
        <w:rPr>
          <w:rFonts w:ascii="Times New Roman" w:hAnsi="Times New Roman"/>
          <w:b w:val="0"/>
          <w:bCs w:val="0"/>
        </w:rPr>
        <w:t xml:space="preserve">. Firms </w:t>
      </w:r>
      <w:r w:rsidRPr="004D6F3A">
        <w:rPr>
          <w:rFonts w:ascii="Times New Roman" w:hAnsi="Times New Roman"/>
          <w:b w:val="0"/>
          <w:bCs w:val="0"/>
        </w:rPr>
        <w:t xml:space="preserve">are responsible for notifying the </w:t>
      </w:r>
      <w:r w:rsidR="00481005" w:rsidRPr="004D6F3A">
        <w:rPr>
          <w:rFonts w:ascii="Times New Roman" w:hAnsi="Times New Roman"/>
          <w:b w:val="0"/>
          <w:bCs w:val="0"/>
        </w:rPr>
        <w:t>Public Finance Division Director</w:t>
      </w:r>
      <w:r w:rsidR="006F04C8">
        <w:rPr>
          <w:rFonts w:ascii="Times New Roman" w:hAnsi="Times New Roman"/>
          <w:b w:val="0"/>
          <w:bCs w:val="0"/>
        </w:rPr>
        <w:t xml:space="preserve"> immediately</w:t>
      </w:r>
      <w:r w:rsidR="00481005" w:rsidRPr="004D6F3A">
        <w:rPr>
          <w:rFonts w:ascii="Times New Roman" w:hAnsi="Times New Roman"/>
          <w:b w:val="0"/>
          <w:bCs w:val="0"/>
        </w:rPr>
        <w:t xml:space="preserve"> if the firm no longer meets the minimum qualifications.</w:t>
      </w:r>
    </w:p>
    <w:p w14:paraId="48F3D169" w14:textId="77777777" w:rsidR="0013189E" w:rsidRDefault="0013189E" w:rsidP="001C4575">
      <w:pPr>
        <w:pStyle w:val="Heading9"/>
        <w:ind w:left="720"/>
        <w:jc w:val="both"/>
        <w:rPr>
          <w:rFonts w:ascii="Times New Roman" w:hAnsi="Times New Roman"/>
          <w:b w:val="0"/>
          <w:bCs w:val="0"/>
        </w:rPr>
        <w:sectPr w:rsidR="0013189E" w:rsidSect="00424912">
          <w:type w:val="continuous"/>
          <w:pgSz w:w="12240" w:h="15840" w:code="1"/>
          <w:pgMar w:top="1440" w:right="1440" w:bottom="1440" w:left="1440" w:header="720" w:footer="720" w:gutter="0"/>
          <w:pgNumType w:start="1"/>
          <w:cols w:space="720"/>
          <w:titlePg/>
          <w:docGrid w:linePitch="360"/>
        </w:sectPr>
      </w:pPr>
    </w:p>
    <w:p w14:paraId="0217E867" w14:textId="475169DA" w:rsidR="005E2D20" w:rsidRDefault="005E2D20"/>
    <w:p w14:paraId="77B6E3CD" w14:textId="77777777" w:rsidR="005E2D20" w:rsidRPr="00147A57" w:rsidRDefault="005E2D20" w:rsidP="005E2D20">
      <w:pPr>
        <w:autoSpaceDE w:val="0"/>
        <w:autoSpaceDN w:val="0"/>
        <w:adjustRightInd w:val="0"/>
        <w:ind w:right="360"/>
        <w:jc w:val="center"/>
        <w:rPr>
          <w:b/>
          <w:color w:val="000000"/>
          <w:u w:val="single"/>
        </w:rPr>
      </w:pPr>
      <w:r>
        <w:rPr>
          <w:b/>
          <w:color w:val="000000"/>
          <w:u w:val="single"/>
        </w:rPr>
        <w:t>FEE MATRIX</w:t>
      </w:r>
    </w:p>
    <w:p w14:paraId="3E4E2C01" w14:textId="7DE59DD5" w:rsidR="005E2D20" w:rsidRPr="00147A57" w:rsidRDefault="009C15E4" w:rsidP="005E2D20">
      <w:pPr>
        <w:autoSpaceDE w:val="0"/>
        <w:autoSpaceDN w:val="0"/>
        <w:adjustRightInd w:val="0"/>
        <w:ind w:right="360"/>
        <w:jc w:val="center"/>
        <w:rPr>
          <w:b/>
          <w:color w:val="000000"/>
        </w:rPr>
      </w:pPr>
      <w:r>
        <w:rPr>
          <w:b/>
          <w:color w:val="000000"/>
          <w:u w:val="single"/>
        </w:rPr>
        <w:t>Bond Counsel and Disclosure Counsel</w:t>
      </w:r>
      <w:r w:rsidR="005E2D20" w:rsidRPr="00147A57">
        <w:rPr>
          <w:b/>
          <w:color w:val="000000"/>
          <w:u w:val="single"/>
        </w:rPr>
        <w:t xml:space="preserve"> Services</w:t>
      </w:r>
    </w:p>
    <w:p w14:paraId="57FAF801" w14:textId="77777777" w:rsidR="005E2D20" w:rsidRPr="00147A57" w:rsidRDefault="005E2D20" w:rsidP="005E2D20">
      <w:pPr>
        <w:autoSpaceDE w:val="0"/>
        <w:autoSpaceDN w:val="0"/>
        <w:adjustRightInd w:val="0"/>
        <w:ind w:right="360"/>
        <w:jc w:val="center"/>
        <w:rPr>
          <w:b/>
          <w:color w:val="000000"/>
        </w:rPr>
      </w:pPr>
      <w:r w:rsidRPr="00147A57">
        <w:rPr>
          <w:b/>
          <w:color w:val="000000"/>
        </w:rPr>
        <w:t>State of California</w:t>
      </w:r>
    </w:p>
    <w:p w14:paraId="52092FCE" w14:textId="77777777" w:rsidR="005E2D20" w:rsidRPr="00147A57" w:rsidRDefault="005E2D20" w:rsidP="005E2D20">
      <w:pPr>
        <w:autoSpaceDE w:val="0"/>
        <w:autoSpaceDN w:val="0"/>
        <w:adjustRightInd w:val="0"/>
        <w:ind w:right="360"/>
        <w:jc w:val="center"/>
        <w:rPr>
          <w:b/>
          <w:color w:val="000000"/>
        </w:rPr>
      </w:pPr>
      <w:r w:rsidRPr="00147A57">
        <w:rPr>
          <w:b/>
          <w:color w:val="000000"/>
        </w:rPr>
        <w:t>State Treasurer’s Office</w:t>
      </w:r>
    </w:p>
    <w:p w14:paraId="457BCBD3" w14:textId="77777777" w:rsidR="005E2D20" w:rsidRPr="00147A57" w:rsidRDefault="005E2D20" w:rsidP="005E2D20">
      <w:pPr>
        <w:autoSpaceDE w:val="0"/>
        <w:autoSpaceDN w:val="0"/>
        <w:adjustRightInd w:val="0"/>
        <w:ind w:right="360"/>
        <w:jc w:val="center"/>
        <w:rPr>
          <w:b/>
          <w:color w:val="000000"/>
        </w:rPr>
      </w:pPr>
    </w:p>
    <w:p w14:paraId="39473D43" w14:textId="77777777" w:rsidR="005E2D20" w:rsidRPr="00147A57" w:rsidRDefault="005E2D20" w:rsidP="005E2D20">
      <w:pPr>
        <w:autoSpaceDE w:val="0"/>
        <w:autoSpaceDN w:val="0"/>
        <w:adjustRightInd w:val="0"/>
        <w:ind w:left="-180" w:right="360"/>
        <w:jc w:val="both"/>
        <w:rPr>
          <w:b/>
          <w:color w:val="000000"/>
        </w:rPr>
      </w:pPr>
    </w:p>
    <w:tbl>
      <w:tblPr>
        <w:tblStyle w:val="TableGrid"/>
        <w:tblW w:w="0" w:type="auto"/>
        <w:tblInd w:w="-180" w:type="dxa"/>
        <w:tblCellMar>
          <w:top w:w="43" w:type="dxa"/>
          <w:left w:w="43" w:type="dxa"/>
          <w:bottom w:w="43" w:type="dxa"/>
          <w:right w:w="43" w:type="dxa"/>
        </w:tblCellMar>
        <w:tblLook w:val="04A0" w:firstRow="1" w:lastRow="0" w:firstColumn="1" w:lastColumn="0" w:noHBand="0" w:noVBand="1"/>
      </w:tblPr>
      <w:tblGrid>
        <w:gridCol w:w="4763"/>
        <w:gridCol w:w="4767"/>
      </w:tblGrid>
      <w:tr w:rsidR="005E2D20" w:rsidRPr="007B00CA" w14:paraId="3AB9E0D3" w14:textId="77777777" w:rsidTr="00C31FF3">
        <w:tc>
          <w:tcPr>
            <w:tcW w:w="4788" w:type="dxa"/>
          </w:tcPr>
          <w:p w14:paraId="7D06047C" w14:textId="77777777" w:rsidR="005E2D20" w:rsidRPr="00147A57" w:rsidRDefault="005E2D20" w:rsidP="00C31FF3">
            <w:pPr>
              <w:autoSpaceDE w:val="0"/>
              <w:autoSpaceDN w:val="0"/>
              <w:adjustRightInd w:val="0"/>
              <w:ind w:left="90"/>
              <w:jc w:val="both"/>
              <w:rPr>
                <w:b/>
                <w:color w:val="000000"/>
              </w:rPr>
            </w:pPr>
            <w:r w:rsidRPr="00147A57">
              <w:rPr>
                <w:color w:val="000000"/>
              </w:rPr>
              <w:t xml:space="preserve">Firm Name:  </w:t>
            </w:r>
            <w:r w:rsidRPr="00147A57">
              <w:rPr>
                <w:color w:val="000000"/>
              </w:rPr>
              <w:fldChar w:fldCharType="begin">
                <w:ffData>
                  <w:name w:val="Text112"/>
                  <w:enabled/>
                  <w:calcOnExit w:val="0"/>
                  <w:textInput/>
                </w:ffData>
              </w:fldChar>
            </w:r>
            <w:bookmarkStart w:id="3" w:name="Text112"/>
            <w:r w:rsidRPr="00147A57">
              <w:rPr>
                <w:color w:val="000000"/>
              </w:rPr>
              <w:instrText xml:space="preserve"> FORMTEXT </w:instrText>
            </w:r>
            <w:r w:rsidRPr="00147A57">
              <w:rPr>
                <w:color w:val="000000"/>
              </w:rPr>
            </w:r>
            <w:r w:rsidRPr="00147A5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47A57">
              <w:rPr>
                <w:color w:val="000000"/>
              </w:rPr>
              <w:fldChar w:fldCharType="end"/>
            </w:r>
            <w:bookmarkEnd w:id="3"/>
          </w:p>
        </w:tc>
        <w:tc>
          <w:tcPr>
            <w:tcW w:w="4788" w:type="dxa"/>
          </w:tcPr>
          <w:p w14:paraId="6AE6FE62" w14:textId="77777777" w:rsidR="005E2D20" w:rsidRPr="00147A57" w:rsidRDefault="005E2D20" w:rsidP="00C31FF3">
            <w:pPr>
              <w:autoSpaceDE w:val="0"/>
              <w:autoSpaceDN w:val="0"/>
              <w:adjustRightInd w:val="0"/>
              <w:ind w:left="72"/>
              <w:jc w:val="both"/>
              <w:rPr>
                <w:b/>
                <w:color w:val="000000"/>
              </w:rPr>
            </w:pPr>
            <w:r w:rsidRPr="00147A57">
              <w:rPr>
                <w:color w:val="000000"/>
              </w:rPr>
              <w:t xml:space="preserve">Contact Person: </w:t>
            </w:r>
            <w:r w:rsidRPr="00147A57">
              <w:rPr>
                <w:color w:val="000000"/>
              </w:rPr>
              <w:fldChar w:fldCharType="begin">
                <w:ffData>
                  <w:name w:val="Text113"/>
                  <w:enabled/>
                  <w:calcOnExit w:val="0"/>
                  <w:textInput/>
                </w:ffData>
              </w:fldChar>
            </w:r>
            <w:bookmarkStart w:id="4" w:name="Text113"/>
            <w:r w:rsidRPr="00147A57">
              <w:rPr>
                <w:color w:val="000000"/>
              </w:rPr>
              <w:instrText xml:space="preserve"> FORMTEXT </w:instrText>
            </w:r>
            <w:r w:rsidRPr="00147A57">
              <w:rPr>
                <w:color w:val="000000"/>
              </w:rPr>
            </w:r>
            <w:r w:rsidRPr="00147A5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47A57">
              <w:rPr>
                <w:color w:val="000000"/>
              </w:rPr>
              <w:fldChar w:fldCharType="end"/>
            </w:r>
            <w:bookmarkEnd w:id="4"/>
          </w:p>
        </w:tc>
      </w:tr>
      <w:tr w:rsidR="005E2D20" w:rsidRPr="007B00CA" w14:paraId="182C9EC4" w14:textId="77777777" w:rsidTr="00C31FF3">
        <w:tc>
          <w:tcPr>
            <w:tcW w:w="4788" w:type="dxa"/>
          </w:tcPr>
          <w:p w14:paraId="07F2D5CC" w14:textId="77777777" w:rsidR="005E2D20" w:rsidRPr="00147A57" w:rsidRDefault="005E2D20" w:rsidP="00C31FF3">
            <w:pPr>
              <w:autoSpaceDE w:val="0"/>
              <w:autoSpaceDN w:val="0"/>
              <w:adjustRightInd w:val="0"/>
              <w:ind w:left="90"/>
              <w:jc w:val="both"/>
              <w:rPr>
                <w:b/>
                <w:color w:val="000000"/>
              </w:rPr>
            </w:pPr>
            <w:r w:rsidRPr="00147A57">
              <w:rPr>
                <w:color w:val="000000"/>
              </w:rPr>
              <w:t xml:space="preserve">Address:  </w:t>
            </w:r>
            <w:r w:rsidRPr="00147A57">
              <w:rPr>
                <w:color w:val="000000"/>
              </w:rPr>
              <w:fldChar w:fldCharType="begin">
                <w:ffData>
                  <w:name w:val="Text114"/>
                  <w:enabled/>
                  <w:calcOnExit w:val="0"/>
                  <w:textInput/>
                </w:ffData>
              </w:fldChar>
            </w:r>
            <w:bookmarkStart w:id="5" w:name="Text114"/>
            <w:r w:rsidRPr="00147A57">
              <w:rPr>
                <w:color w:val="000000"/>
              </w:rPr>
              <w:instrText xml:space="preserve"> FORMTEXT </w:instrText>
            </w:r>
            <w:r w:rsidRPr="00147A57">
              <w:rPr>
                <w:color w:val="000000"/>
              </w:rPr>
            </w:r>
            <w:r w:rsidRPr="00147A5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47A57">
              <w:rPr>
                <w:color w:val="000000"/>
              </w:rPr>
              <w:fldChar w:fldCharType="end"/>
            </w:r>
            <w:bookmarkEnd w:id="5"/>
          </w:p>
        </w:tc>
        <w:tc>
          <w:tcPr>
            <w:tcW w:w="4788" w:type="dxa"/>
          </w:tcPr>
          <w:p w14:paraId="0A00B01B" w14:textId="77777777" w:rsidR="005E2D20" w:rsidRPr="00147A57" w:rsidRDefault="005E2D20" w:rsidP="00C31FF3">
            <w:pPr>
              <w:ind w:left="72"/>
              <w:jc w:val="both"/>
              <w:rPr>
                <w:color w:val="000000"/>
              </w:rPr>
            </w:pPr>
            <w:r w:rsidRPr="00147A57">
              <w:rPr>
                <w:bCs/>
              </w:rPr>
              <w:t>Phone:</w:t>
            </w:r>
            <w:r w:rsidRPr="00147A57">
              <w:t xml:space="preserve"> (</w:t>
            </w:r>
            <w:r w:rsidRPr="00147A57">
              <w:fldChar w:fldCharType="begin">
                <w:ffData>
                  <w:name w:val="Text115"/>
                  <w:enabled/>
                  <w:calcOnExit w:val="0"/>
                  <w:textInput>
                    <w:maxLength w:val="3"/>
                  </w:textInput>
                </w:ffData>
              </w:fldChar>
            </w:r>
            <w:bookmarkStart w:id="6" w:name="Text115"/>
            <w:r w:rsidRPr="00147A57">
              <w:instrText xml:space="preserve"> FORMTEXT </w:instrText>
            </w:r>
            <w:r w:rsidRPr="00147A57">
              <w:fldChar w:fldCharType="separate"/>
            </w:r>
            <w:r>
              <w:rPr>
                <w:noProof/>
              </w:rPr>
              <w:t> </w:t>
            </w:r>
            <w:r>
              <w:rPr>
                <w:noProof/>
              </w:rPr>
              <w:t> </w:t>
            </w:r>
            <w:r>
              <w:rPr>
                <w:noProof/>
              </w:rPr>
              <w:t> </w:t>
            </w:r>
            <w:r w:rsidRPr="00147A57">
              <w:fldChar w:fldCharType="end"/>
            </w:r>
            <w:bookmarkEnd w:id="6"/>
            <w:r w:rsidRPr="00147A57">
              <w:t xml:space="preserve">) </w:t>
            </w:r>
            <w:r w:rsidRPr="00147A57">
              <w:fldChar w:fldCharType="begin">
                <w:ffData>
                  <w:name w:val="Text116"/>
                  <w:enabled/>
                  <w:calcOnExit w:val="0"/>
                  <w:textInput>
                    <w:maxLength w:val="3"/>
                  </w:textInput>
                </w:ffData>
              </w:fldChar>
            </w:r>
            <w:bookmarkStart w:id="7" w:name="Text116"/>
            <w:r w:rsidRPr="00147A57">
              <w:instrText xml:space="preserve"> FORMTEXT </w:instrText>
            </w:r>
            <w:r w:rsidRPr="00147A57">
              <w:fldChar w:fldCharType="separate"/>
            </w:r>
            <w:r>
              <w:rPr>
                <w:noProof/>
              </w:rPr>
              <w:t> </w:t>
            </w:r>
            <w:r>
              <w:rPr>
                <w:noProof/>
              </w:rPr>
              <w:t> </w:t>
            </w:r>
            <w:r>
              <w:rPr>
                <w:noProof/>
              </w:rPr>
              <w:t> </w:t>
            </w:r>
            <w:r w:rsidRPr="00147A57">
              <w:fldChar w:fldCharType="end"/>
            </w:r>
            <w:bookmarkEnd w:id="7"/>
            <w:r w:rsidRPr="00147A57">
              <w:t>-</w:t>
            </w:r>
            <w:r w:rsidRPr="00147A57">
              <w:fldChar w:fldCharType="begin">
                <w:ffData>
                  <w:name w:val="Text117"/>
                  <w:enabled/>
                  <w:calcOnExit w:val="0"/>
                  <w:textInput>
                    <w:maxLength w:val="4"/>
                  </w:textInput>
                </w:ffData>
              </w:fldChar>
            </w:r>
            <w:bookmarkStart w:id="8" w:name="Text117"/>
            <w:r w:rsidRPr="00147A57">
              <w:instrText xml:space="preserve"> FORMTEXT </w:instrText>
            </w:r>
            <w:r w:rsidRPr="00147A57">
              <w:fldChar w:fldCharType="separate"/>
            </w:r>
            <w:r>
              <w:rPr>
                <w:noProof/>
              </w:rPr>
              <w:t> </w:t>
            </w:r>
            <w:r>
              <w:rPr>
                <w:noProof/>
              </w:rPr>
              <w:t> </w:t>
            </w:r>
            <w:r>
              <w:rPr>
                <w:noProof/>
              </w:rPr>
              <w:t> </w:t>
            </w:r>
            <w:r>
              <w:rPr>
                <w:noProof/>
              </w:rPr>
              <w:t> </w:t>
            </w:r>
            <w:r w:rsidRPr="00147A57">
              <w:fldChar w:fldCharType="end"/>
            </w:r>
            <w:bookmarkEnd w:id="8"/>
            <w:r w:rsidRPr="00147A57">
              <w:t xml:space="preserve"> ext. </w:t>
            </w:r>
            <w:r w:rsidRPr="00147A57">
              <w:fldChar w:fldCharType="begin">
                <w:ffData>
                  <w:name w:val="Text120"/>
                  <w:enabled/>
                  <w:calcOnExit w:val="0"/>
                  <w:textInput/>
                </w:ffData>
              </w:fldChar>
            </w:r>
            <w:bookmarkStart w:id="9" w:name="Text120"/>
            <w:r w:rsidRPr="00147A57">
              <w:instrText xml:space="preserve"> FORMTEXT </w:instrText>
            </w:r>
            <w:r w:rsidRPr="00147A57">
              <w:fldChar w:fldCharType="separate"/>
            </w:r>
            <w:r>
              <w:rPr>
                <w:noProof/>
              </w:rPr>
              <w:t> </w:t>
            </w:r>
            <w:r>
              <w:rPr>
                <w:noProof/>
              </w:rPr>
              <w:t> </w:t>
            </w:r>
            <w:r>
              <w:rPr>
                <w:noProof/>
              </w:rPr>
              <w:t> </w:t>
            </w:r>
            <w:r>
              <w:rPr>
                <w:noProof/>
              </w:rPr>
              <w:t> </w:t>
            </w:r>
            <w:r>
              <w:rPr>
                <w:noProof/>
              </w:rPr>
              <w:t> </w:t>
            </w:r>
            <w:r w:rsidRPr="00147A57">
              <w:fldChar w:fldCharType="end"/>
            </w:r>
            <w:bookmarkEnd w:id="9"/>
          </w:p>
          <w:p w14:paraId="5770A9BD" w14:textId="77777777" w:rsidR="005E2D20" w:rsidRPr="00147A57" w:rsidRDefault="005E2D20" w:rsidP="00C31FF3">
            <w:pPr>
              <w:ind w:left="72"/>
              <w:jc w:val="both"/>
              <w:rPr>
                <w:b/>
                <w:color w:val="000000"/>
              </w:rPr>
            </w:pPr>
            <w:r w:rsidRPr="00147A57">
              <w:rPr>
                <w:color w:val="000000"/>
              </w:rPr>
              <w:t xml:space="preserve">Email Address:  </w:t>
            </w:r>
            <w:r w:rsidRPr="00147A57">
              <w:rPr>
                <w:color w:val="000000"/>
              </w:rPr>
              <w:fldChar w:fldCharType="begin">
                <w:ffData>
                  <w:name w:val="Text118"/>
                  <w:enabled/>
                  <w:calcOnExit w:val="0"/>
                  <w:textInput/>
                </w:ffData>
              </w:fldChar>
            </w:r>
            <w:bookmarkStart w:id="10" w:name="Text118"/>
            <w:r w:rsidRPr="00147A57">
              <w:rPr>
                <w:color w:val="000000"/>
              </w:rPr>
              <w:instrText xml:space="preserve"> FORMTEXT </w:instrText>
            </w:r>
            <w:r w:rsidRPr="00147A57">
              <w:rPr>
                <w:color w:val="000000"/>
              </w:rPr>
            </w:r>
            <w:r w:rsidRPr="00147A5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47A57">
              <w:rPr>
                <w:color w:val="000000"/>
              </w:rPr>
              <w:fldChar w:fldCharType="end"/>
            </w:r>
            <w:bookmarkEnd w:id="10"/>
            <w:r w:rsidRPr="00147A57">
              <w:rPr>
                <w:color w:val="000000"/>
              </w:rPr>
              <w:t>@</w:t>
            </w:r>
            <w:r w:rsidRPr="00147A57">
              <w:rPr>
                <w:color w:val="000000"/>
              </w:rPr>
              <w:fldChar w:fldCharType="begin">
                <w:ffData>
                  <w:name w:val="Text119"/>
                  <w:enabled/>
                  <w:calcOnExit w:val="0"/>
                  <w:textInput/>
                </w:ffData>
              </w:fldChar>
            </w:r>
            <w:bookmarkStart w:id="11" w:name="Text119"/>
            <w:r w:rsidRPr="00147A57">
              <w:rPr>
                <w:color w:val="000000"/>
              </w:rPr>
              <w:instrText xml:space="preserve"> FORMTEXT </w:instrText>
            </w:r>
            <w:r w:rsidRPr="00147A57">
              <w:rPr>
                <w:color w:val="000000"/>
              </w:rPr>
            </w:r>
            <w:r w:rsidRPr="00147A5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47A57">
              <w:rPr>
                <w:color w:val="000000"/>
              </w:rPr>
              <w:fldChar w:fldCharType="end"/>
            </w:r>
            <w:bookmarkEnd w:id="11"/>
          </w:p>
        </w:tc>
      </w:tr>
    </w:tbl>
    <w:p w14:paraId="1AF47FAA" w14:textId="343099BA" w:rsidR="005E2D20" w:rsidRDefault="005E2D20" w:rsidP="005E2D20"/>
    <w:p w14:paraId="32D12D32" w14:textId="48619094" w:rsidR="00B10FBB" w:rsidRPr="004D6F3A" w:rsidRDefault="00B10FBB" w:rsidP="000523A1">
      <w:pPr>
        <w:jc w:val="both"/>
      </w:pPr>
      <w:r>
        <w:t>P</w:t>
      </w:r>
      <w:r w:rsidRPr="004D6F3A">
        <w:t>lease describe the firm’s proposed fee structure for the GO/RAN Bond Counsel Assignment, GO Disclosure Counsel Assignment,</w:t>
      </w:r>
      <w:r>
        <w:t xml:space="preserve"> </w:t>
      </w:r>
      <w:r w:rsidRPr="004D6F3A">
        <w:t>Appendix A Disclosure Counsel Assignment</w:t>
      </w:r>
      <w:r>
        <w:t>, and/or CalVet Disclosure Assignment</w:t>
      </w:r>
      <w:r w:rsidRPr="004D6F3A">
        <w:t>. If proposing an hourly rate structure, include the hourly rate for each person assigned to the STO</w:t>
      </w:r>
      <w:r w:rsidR="00C97502">
        <w:t>, including attorneys, paralegals, and any other staff.</w:t>
      </w:r>
      <w:r w:rsidRPr="004D6F3A">
        <w:t xml:space="preserve"> If proposing a flat fee structure, include all services and opinions included in the flat fee. If proposing a hybrid fee structure, include all services and opinions included in the flat fee, as well as the hourly rate for each person assigned to the STO and all services, duties, or opinions covered by hourly rates.</w:t>
      </w:r>
    </w:p>
    <w:p w14:paraId="1DBFA6F7" w14:textId="77777777" w:rsidR="00B10FBB" w:rsidRPr="004D6F3A" w:rsidRDefault="00B10FBB" w:rsidP="00B10FBB">
      <w:pPr>
        <w:ind w:left="1440"/>
        <w:jc w:val="both"/>
      </w:pPr>
    </w:p>
    <w:p w14:paraId="5C75165D" w14:textId="77777777" w:rsidR="00B10FBB" w:rsidRPr="004D6F3A" w:rsidRDefault="00B10FBB" w:rsidP="000523A1">
      <w:pPr>
        <w:jc w:val="both"/>
      </w:pPr>
      <w:r w:rsidRPr="004D6F3A">
        <w:t xml:space="preserve">For the Appendix A Disclosure Counsel Assignment, please include a proposed </w:t>
      </w:r>
      <w:r w:rsidRPr="004D6F3A">
        <w:rPr>
          <w:u w:val="single"/>
        </w:rPr>
        <w:t>flat</w:t>
      </w:r>
      <w:r w:rsidRPr="004D6F3A">
        <w:t xml:space="preserve"> fee structure for the scope of services described in Section III.C.9. relating to the Cal-Mortgage Program.  The proposed fee should assume a standard bond issuance.  Fees for non-standard Cal-Mortgage Program bond sales will be evaluated and assessed on a case-by-case basis.</w:t>
      </w:r>
    </w:p>
    <w:p w14:paraId="12E7D650" w14:textId="77777777" w:rsidR="00B10FBB" w:rsidRPr="004D6F3A" w:rsidRDefault="00B10FBB" w:rsidP="00B10FBB">
      <w:pPr>
        <w:ind w:left="1440"/>
        <w:jc w:val="both"/>
      </w:pPr>
    </w:p>
    <w:p w14:paraId="63157D72" w14:textId="77777777" w:rsidR="00B10FBB" w:rsidRDefault="00B10FBB" w:rsidP="000523A1">
      <w:pPr>
        <w:jc w:val="both"/>
      </w:pPr>
      <w:r w:rsidRPr="004D6F3A">
        <w:t xml:space="preserve">For </w:t>
      </w:r>
      <w:r>
        <w:t xml:space="preserve">the </w:t>
      </w:r>
      <w:r w:rsidRPr="004D6F3A">
        <w:t>GO</w:t>
      </w:r>
      <w:r>
        <w:t>/RAN Bond Counsel Assignment</w:t>
      </w:r>
      <w:r w:rsidRPr="004D6F3A">
        <w:t xml:space="preserve">, please ensure your proposal covers fixed rate bonds, variable rate bonds, commercial paper, competitive and negotiated sales, and an annual long-term working capital analysis and opinion.  </w:t>
      </w:r>
    </w:p>
    <w:p w14:paraId="57F68977" w14:textId="273D7D7A" w:rsidR="00B10FBB" w:rsidRDefault="00B10FBB">
      <w:pPr>
        <w:jc w:val="both"/>
      </w:pPr>
    </w:p>
    <w:p w14:paraId="675AB6CA" w14:textId="77777777" w:rsidR="009C15E4" w:rsidRDefault="009C15E4" w:rsidP="009C15E4">
      <w:pPr>
        <w:jc w:val="both"/>
      </w:pPr>
      <w:r w:rsidRPr="000523A1">
        <w:t>For the Vets Disclosure Counsel Assignment, if proposing an hourly rate fee structure or a hybrid fee structure, include a not to exceed cap.</w:t>
      </w:r>
      <w:r w:rsidRPr="004D6F3A">
        <w:t xml:space="preserve"> </w:t>
      </w:r>
    </w:p>
    <w:p w14:paraId="7C57A3F5" w14:textId="77777777" w:rsidR="009C15E4" w:rsidRPr="004D6F3A" w:rsidRDefault="009C15E4" w:rsidP="000523A1">
      <w:pPr>
        <w:jc w:val="both"/>
      </w:pPr>
    </w:p>
    <w:p w14:paraId="28048CA6" w14:textId="77777777" w:rsidR="00B10FBB" w:rsidRPr="004D6F3A" w:rsidRDefault="00B10FBB" w:rsidP="000523A1">
      <w:pPr>
        <w:jc w:val="both"/>
      </w:pPr>
      <w:r w:rsidRPr="004D6F3A">
        <w:t>All fees proposed should be valid from July 1, 20</w:t>
      </w:r>
      <w:r>
        <w:t>23</w:t>
      </w:r>
      <w:r w:rsidRPr="004D6F3A">
        <w:t xml:space="preserve"> to June 30, </w:t>
      </w:r>
      <w:r>
        <w:t>2026</w:t>
      </w:r>
      <w:r w:rsidRPr="004D6F3A">
        <w:t xml:space="preserve">.  </w:t>
      </w:r>
    </w:p>
    <w:p w14:paraId="3C33B0FA" w14:textId="5B7516AF" w:rsidR="009C15E4" w:rsidRPr="000523A1" w:rsidRDefault="009C15E4" w:rsidP="000523A1">
      <w:pPr>
        <w:rPr>
          <w:b/>
          <w:bCs/>
          <w:u w:val="single"/>
        </w:rPr>
      </w:pPr>
      <w:r>
        <w:rPr>
          <w:b/>
          <w:bCs/>
          <w:u w:val="single"/>
        </w:rPr>
        <w:br w:type="page"/>
      </w:r>
    </w:p>
    <w:tbl>
      <w:tblPr>
        <w:tblW w:w="96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333"/>
      </w:tblGrid>
      <w:tr w:rsidR="009C15E4" w:rsidRPr="004F5A2A" w14:paraId="31766935" w14:textId="77777777" w:rsidTr="001F49A5">
        <w:trPr>
          <w:trHeight w:val="341"/>
        </w:trPr>
        <w:tc>
          <w:tcPr>
            <w:tcW w:w="9653" w:type="dxa"/>
            <w:gridSpan w:val="2"/>
            <w:shd w:val="clear" w:color="auto" w:fill="BFBFBF"/>
          </w:tcPr>
          <w:p w14:paraId="26193E43" w14:textId="77777777" w:rsidR="009C15E4" w:rsidRPr="004F5A2A" w:rsidRDefault="009C15E4" w:rsidP="001F49A5">
            <w:pPr>
              <w:rPr>
                <w:b/>
                <w:bCs/>
                <w:sz w:val="22"/>
                <w:szCs w:val="22"/>
              </w:rPr>
            </w:pPr>
            <w:bookmarkStart w:id="12" w:name="_Hlk131690966"/>
            <w:r>
              <w:rPr>
                <w:b/>
                <w:bCs/>
                <w:sz w:val="22"/>
                <w:szCs w:val="22"/>
              </w:rPr>
              <w:lastRenderedPageBreak/>
              <w:t>GO/RAN BOND COUNSEL ASSIGNMENT</w:t>
            </w:r>
          </w:p>
        </w:tc>
      </w:tr>
      <w:tr w:rsidR="009C15E4" w:rsidRPr="004F5A2A" w14:paraId="45986B29" w14:textId="77777777" w:rsidTr="001F49A5">
        <w:trPr>
          <w:trHeight w:val="368"/>
        </w:trPr>
        <w:tc>
          <w:tcPr>
            <w:tcW w:w="4320" w:type="dxa"/>
            <w:shd w:val="clear" w:color="auto" w:fill="auto"/>
          </w:tcPr>
          <w:p w14:paraId="26AEDA11" w14:textId="77777777" w:rsidR="009C15E4" w:rsidRPr="001F49A5" w:rsidRDefault="009C15E4" w:rsidP="001F49A5">
            <w:pPr>
              <w:rPr>
                <w:bCs/>
                <w:sz w:val="22"/>
                <w:szCs w:val="22"/>
              </w:rPr>
            </w:pPr>
            <w:r w:rsidRPr="00327023">
              <w:rPr>
                <w:bCs/>
                <w:sz w:val="22"/>
                <w:szCs w:val="22"/>
              </w:rPr>
              <w:t xml:space="preserve">HOURLY FEE </w:t>
            </w:r>
            <w:r>
              <w:rPr>
                <w:bCs/>
                <w:sz w:val="22"/>
                <w:szCs w:val="22"/>
              </w:rPr>
              <w:t>SUMMARY</w:t>
            </w:r>
          </w:p>
          <w:p w14:paraId="1CF0806A" w14:textId="77777777" w:rsidR="009C15E4" w:rsidRPr="001F49A5" w:rsidRDefault="009C15E4" w:rsidP="001F49A5">
            <w:pPr>
              <w:rPr>
                <w:bCs/>
                <w:sz w:val="22"/>
                <w:szCs w:val="22"/>
              </w:rPr>
            </w:pPr>
          </w:p>
          <w:p w14:paraId="517B2BDD" w14:textId="77777777" w:rsidR="009C15E4" w:rsidRPr="001F49A5" w:rsidRDefault="009C15E4" w:rsidP="001F49A5">
            <w:pPr>
              <w:rPr>
                <w:bCs/>
                <w:sz w:val="22"/>
                <w:szCs w:val="22"/>
              </w:rPr>
            </w:pPr>
            <w:r w:rsidRPr="001F49A5">
              <w:rPr>
                <w:bCs/>
                <w:sz w:val="22"/>
                <w:szCs w:val="22"/>
              </w:rPr>
              <w:fldChar w:fldCharType="begin">
                <w:ffData>
                  <w:name w:val="Text121"/>
                  <w:enabled/>
                  <w:calcOnExit w:val="0"/>
                  <w:textInput/>
                </w:ffData>
              </w:fldChar>
            </w:r>
            <w:r w:rsidRPr="001F49A5">
              <w:rPr>
                <w:bCs/>
                <w:sz w:val="22"/>
                <w:szCs w:val="22"/>
              </w:rPr>
              <w:instrText xml:space="preserve"> FORMTEXT </w:instrText>
            </w:r>
            <w:r w:rsidRPr="001F49A5">
              <w:rPr>
                <w:bCs/>
                <w:sz w:val="22"/>
                <w:szCs w:val="22"/>
              </w:rPr>
            </w:r>
            <w:r w:rsidRPr="001F49A5">
              <w:rPr>
                <w:bCs/>
                <w:sz w:val="22"/>
                <w:szCs w:val="22"/>
              </w:rPr>
              <w:fldChar w:fldCharType="separate"/>
            </w:r>
            <w:r w:rsidRPr="001F49A5">
              <w:rPr>
                <w:bCs/>
                <w:noProof/>
                <w:sz w:val="22"/>
                <w:szCs w:val="22"/>
              </w:rPr>
              <w:t> </w:t>
            </w:r>
            <w:r w:rsidRPr="001F49A5">
              <w:rPr>
                <w:bCs/>
                <w:noProof/>
                <w:sz w:val="22"/>
                <w:szCs w:val="22"/>
              </w:rPr>
              <w:t> </w:t>
            </w:r>
            <w:r w:rsidRPr="001F49A5">
              <w:rPr>
                <w:bCs/>
                <w:noProof/>
                <w:sz w:val="22"/>
                <w:szCs w:val="22"/>
              </w:rPr>
              <w:t> </w:t>
            </w:r>
            <w:r w:rsidRPr="001F49A5">
              <w:rPr>
                <w:bCs/>
                <w:noProof/>
                <w:sz w:val="22"/>
                <w:szCs w:val="22"/>
              </w:rPr>
              <w:t> </w:t>
            </w:r>
            <w:r w:rsidRPr="001F49A5">
              <w:rPr>
                <w:bCs/>
                <w:noProof/>
                <w:sz w:val="22"/>
                <w:szCs w:val="22"/>
              </w:rPr>
              <w:t> </w:t>
            </w:r>
            <w:r w:rsidRPr="001F49A5">
              <w:rPr>
                <w:bCs/>
                <w:sz w:val="22"/>
                <w:szCs w:val="22"/>
              </w:rPr>
              <w:fldChar w:fldCharType="end"/>
            </w:r>
          </w:p>
          <w:p w14:paraId="7D4E9074" w14:textId="77777777" w:rsidR="009C15E4" w:rsidRPr="001F49A5" w:rsidRDefault="009C15E4" w:rsidP="001F49A5">
            <w:pPr>
              <w:rPr>
                <w:bCs/>
                <w:sz w:val="22"/>
                <w:szCs w:val="22"/>
              </w:rPr>
            </w:pPr>
          </w:p>
          <w:p w14:paraId="4A08A3CE" w14:textId="77777777" w:rsidR="009C15E4" w:rsidRPr="00327023" w:rsidRDefault="009C15E4" w:rsidP="001F49A5">
            <w:pPr>
              <w:rPr>
                <w:bCs/>
                <w:sz w:val="22"/>
                <w:szCs w:val="22"/>
              </w:rPr>
            </w:pPr>
          </w:p>
        </w:tc>
        <w:tc>
          <w:tcPr>
            <w:tcW w:w="5333" w:type="dxa"/>
            <w:shd w:val="clear" w:color="auto" w:fill="auto"/>
          </w:tcPr>
          <w:p w14:paraId="488104CE" w14:textId="470FCDA7" w:rsidR="009C15E4" w:rsidRPr="001F49A5" w:rsidRDefault="009C15E4" w:rsidP="001F49A5">
            <w:pPr>
              <w:rPr>
                <w:bCs/>
                <w:sz w:val="22"/>
                <w:szCs w:val="22"/>
              </w:rPr>
            </w:pPr>
            <w:r w:rsidRPr="001F49A5">
              <w:rPr>
                <w:bCs/>
                <w:sz w:val="22"/>
                <w:szCs w:val="22"/>
              </w:rPr>
              <w:t>SERVICES COVERED</w:t>
            </w:r>
            <w:r w:rsidR="00B2606E">
              <w:rPr>
                <w:bCs/>
                <w:sz w:val="22"/>
                <w:szCs w:val="22"/>
              </w:rPr>
              <w:t xml:space="preserve"> – HOURLY FEE</w:t>
            </w:r>
          </w:p>
          <w:p w14:paraId="18A22D0D" w14:textId="77777777" w:rsidR="009C15E4" w:rsidRPr="001F49A5" w:rsidRDefault="009C15E4" w:rsidP="001F49A5">
            <w:pPr>
              <w:rPr>
                <w:bCs/>
                <w:sz w:val="22"/>
                <w:szCs w:val="22"/>
              </w:rPr>
            </w:pPr>
          </w:p>
          <w:p w14:paraId="20A719E0" w14:textId="77777777" w:rsidR="009C15E4" w:rsidRPr="001F49A5" w:rsidRDefault="009C15E4" w:rsidP="001F49A5">
            <w:pPr>
              <w:rPr>
                <w:bCs/>
                <w:sz w:val="22"/>
                <w:szCs w:val="22"/>
              </w:rPr>
            </w:pPr>
            <w:r w:rsidRPr="001F49A5">
              <w:rPr>
                <w:bCs/>
                <w:sz w:val="22"/>
                <w:szCs w:val="22"/>
              </w:rPr>
              <w:fldChar w:fldCharType="begin">
                <w:ffData>
                  <w:name w:val="Text121"/>
                  <w:enabled/>
                  <w:calcOnExit w:val="0"/>
                  <w:textInput/>
                </w:ffData>
              </w:fldChar>
            </w:r>
            <w:r w:rsidRPr="001F49A5">
              <w:rPr>
                <w:bCs/>
                <w:sz w:val="22"/>
                <w:szCs w:val="22"/>
              </w:rPr>
              <w:instrText xml:space="preserve"> FORMTEXT </w:instrText>
            </w:r>
            <w:r w:rsidRPr="001F49A5">
              <w:rPr>
                <w:bCs/>
                <w:sz w:val="22"/>
                <w:szCs w:val="22"/>
              </w:rPr>
            </w:r>
            <w:r w:rsidRPr="001F49A5">
              <w:rPr>
                <w:bCs/>
                <w:sz w:val="22"/>
                <w:szCs w:val="22"/>
              </w:rPr>
              <w:fldChar w:fldCharType="separate"/>
            </w:r>
            <w:r w:rsidRPr="001F49A5">
              <w:rPr>
                <w:bCs/>
                <w:noProof/>
                <w:sz w:val="22"/>
                <w:szCs w:val="22"/>
              </w:rPr>
              <w:t> </w:t>
            </w:r>
            <w:r w:rsidRPr="001F49A5">
              <w:rPr>
                <w:bCs/>
                <w:noProof/>
                <w:sz w:val="22"/>
                <w:szCs w:val="22"/>
              </w:rPr>
              <w:t> </w:t>
            </w:r>
            <w:r w:rsidRPr="001F49A5">
              <w:rPr>
                <w:bCs/>
                <w:noProof/>
                <w:sz w:val="22"/>
                <w:szCs w:val="22"/>
              </w:rPr>
              <w:t> </w:t>
            </w:r>
            <w:r w:rsidRPr="001F49A5">
              <w:rPr>
                <w:bCs/>
                <w:noProof/>
                <w:sz w:val="22"/>
                <w:szCs w:val="22"/>
              </w:rPr>
              <w:t> </w:t>
            </w:r>
            <w:r w:rsidRPr="001F49A5">
              <w:rPr>
                <w:bCs/>
                <w:noProof/>
                <w:sz w:val="22"/>
                <w:szCs w:val="22"/>
              </w:rPr>
              <w:t> </w:t>
            </w:r>
            <w:r w:rsidRPr="001F49A5">
              <w:rPr>
                <w:bCs/>
                <w:sz w:val="22"/>
                <w:szCs w:val="22"/>
              </w:rPr>
              <w:fldChar w:fldCharType="end"/>
            </w:r>
          </w:p>
        </w:tc>
      </w:tr>
      <w:tr w:rsidR="009C15E4" w:rsidRPr="004F5A2A" w14:paraId="1D551976" w14:textId="77777777" w:rsidTr="001F49A5">
        <w:trPr>
          <w:trHeight w:val="683"/>
        </w:trPr>
        <w:tc>
          <w:tcPr>
            <w:tcW w:w="4320" w:type="dxa"/>
            <w:shd w:val="clear" w:color="auto" w:fill="auto"/>
          </w:tcPr>
          <w:p w14:paraId="0353D3FF" w14:textId="77777777" w:rsidR="009C15E4" w:rsidRPr="001F49A5" w:rsidRDefault="009C15E4" w:rsidP="001F49A5">
            <w:pPr>
              <w:rPr>
                <w:bCs/>
                <w:sz w:val="22"/>
                <w:szCs w:val="22"/>
              </w:rPr>
            </w:pPr>
            <w:r w:rsidRPr="00327023">
              <w:rPr>
                <w:bCs/>
                <w:sz w:val="22"/>
                <w:szCs w:val="22"/>
              </w:rPr>
              <w:t xml:space="preserve">FIXED FEE </w:t>
            </w:r>
            <w:r>
              <w:rPr>
                <w:bCs/>
                <w:sz w:val="22"/>
                <w:szCs w:val="22"/>
              </w:rPr>
              <w:t>SUMMARY</w:t>
            </w:r>
          </w:p>
          <w:p w14:paraId="41F897C8" w14:textId="77777777" w:rsidR="009C15E4" w:rsidRPr="001F49A5" w:rsidRDefault="009C15E4" w:rsidP="001F49A5">
            <w:pPr>
              <w:rPr>
                <w:bCs/>
                <w:sz w:val="22"/>
                <w:szCs w:val="22"/>
              </w:rPr>
            </w:pPr>
          </w:p>
          <w:p w14:paraId="78E3ABB2" w14:textId="77777777" w:rsidR="009C15E4" w:rsidRPr="00327023" w:rsidRDefault="009C15E4" w:rsidP="001F49A5">
            <w:pPr>
              <w:rPr>
                <w:bCs/>
                <w:sz w:val="22"/>
                <w:szCs w:val="22"/>
              </w:rPr>
            </w:pPr>
            <w:r w:rsidRPr="001F49A5">
              <w:rPr>
                <w:bCs/>
                <w:sz w:val="22"/>
                <w:szCs w:val="22"/>
              </w:rPr>
              <w:fldChar w:fldCharType="begin">
                <w:ffData>
                  <w:name w:val="Text121"/>
                  <w:enabled/>
                  <w:calcOnExit w:val="0"/>
                  <w:textInput/>
                </w:ffData>
              </w:fldChar>
            </w:r>
            <w:r w:rsidRPr="001F49A5">
              <w:rPr>
                <w:bCs/>
                <w:sz w:val="22"/>
                <w:szCs w:val="22"/>
              </w:rPr>
              <w:instrText xml:space="preserve"> FORMTEXT </w:instrText>
            </w:r>
            <w:r w:rsidRPr="001F49A5">
              <w:rPr>
                <w:bCs/>
                <w:sz w:val="22"/>
                <w:szCs w:val="22"/>
              </w:rPr>
            </w:r>
            <w:r w:rsidRPr="001F49A5">
              <w:rPr>
                <w:bCs/>
                <w:sz w:val="22"/>
                <w:szCs w:val="22"/>
              </w:rPr>
              <w:fldChar w:fldCharType="separate"/>
            </w:r>
            <w:r w:rsidRPr="001F49A5">
              <w:rPr>
                <w:bCs/>
                <w:noProof/>
                <w:sz w:val="22"/>
                <w:szCs w:val="22"/>
              </w:rPr>
              <w:t> </w:t>
            </w:r>
            <w:r w:rsidRPr="001F49A5">
              <w:rPr>
                <w:bCs/>
                <w:noProof/>
                <w:sz w:val="22"/>
                <w:szCs w:val="22"/>
              </w:rPr>
              <w:t> </w:t>
            </w:r>
            <w:r w:rsidRPr="001F49A5">
              <w:rPr>
                <w:bCs/>
                <w:noProof/>
                <w:sz w:val="22"/>
                <w:szCs w:val="22"/>
              </w:rPr>
              <w:t> </w:t>
            </w:r>
            <w:r w:rsidRPr="001F49A5">
              <w:rPr>
                <w:bCs/>
                <w:noProof/>
                <w:sz w:val="22"/>
                <w:szCs w:val="22"/>
              </w:rPr>
              <w:t> </w:t>
            </w:r>
            <w:r w:rsidRPr="001F49A5">
              <w:rPr>
                <w:bCs/>
                <w:noProof/>
                <w:sz w:val="22"/>
                <w:szCs w:val="22"/>
              </w:rPr>
              <w:t> </w:t>
            </w:r>
            <w:r w:rsidRPr="001F49A5">
              <w:rPr>
                <w:bCs/>
                <w:sz w:val="22"/>
                <w:szCs w:val="22"/>
              </w:rPr>
              <w:fldChar w:fldCharType="end"/>
            </w:r>
          </w:p>
        </w:tc>
        <w:tc>
          <w:tcPr>
            <w:tcW w:w="5333" w:type="dxa"/>
            <w:shd w:val="clear" w:color="auto" w:fill="auto"/>
          </w:tcPr>
          <w:p w14:paraId="513ECCEA" w14:textId="03723689" w:rsidR="009C15E4" w:rsidRPr="001F49A5" w:rsidRDefault="009C15E4" w:rsidP="001F49A5">
            <w:pPr>
              <w:rPr>
                <w:bCs/>
                <w:sz w:val="22"/>
                <w:szCs w:val="22"/>
              </w:rPr>
            </w:pPr>
            <w:r w:rsidRPr="001F49A5">
              <w:rPr>
                <w:bCs/>
                <w:sz w:val="22"/>
                <w:szCs w:val="22"/>
              </w:rPr>
              <w:t>SERVICES/OPINIONS COVERED</w:t>
            </w:r>
            <w:r w:rsidR="00B2606E">
              <w:rPr>
                <w:bCs/>
                <w:sz w:val="22"/>
                <w:szCs w:val="22"/>
              </w:rPr>
              <w:t xml:space="preserve"> – FLAT FEE</w:t>
            </w:r>
          </w:p>
          <w:p w14:paraId="71481395" w14:textId="77777777" w:rsidR="009C15E4" w:rsidRPr="001F49A5" w:rsidRDefault="009C15E4" w:rsidP="001F49A5">
            <w:pPr>
              <w:rPr>
                <w:bCs/>
                <w:sz w:val="22"/>
                <w:szCs w:val="22"/>
              </w:rPr>
            </w:pPr>
          </w:p>
          <w:p w14:paraId="75242E84" w14:textId="77777777" w:rsidR="009C15E4" w:rsidRPr="001F49A5" w:rsidRDefault="009C15E4" w:rsidP="001F49A5">
            <w:pPr>
              <w:rPr>
                <w:bCs/>
                <w:sz w:val="22"/>
                <w:szCs w:val="22"/>
              </w:rPr>
            </w:pPr>
            <w:r w:rsidRPr="001F49A5">
              <w:rPr>
                <w:bCs/>
                <w:sz w:val="22"/>
                <w:szCs w:val="22"/>
              </w:rPr>
              <w:fldChar w:fldCharType="begin">
                <w:ffData>
                  <w:name w:val="Text121"/>
                  <w:enabled/>
                  <w:calcOnExit w:val="0"/>
                  <w:textInput/>
                </w:ffData>
              </w:fldChar>
            </w:r>
            <w:r w:rsidRPr="001F49A5">
              <w:rPr>
                <w:bCs/>
                <w:sz w:val="22"/>
                <w:szCs w:val="22"/>
              </w:rPr>
              <w:instrText xml:space="preserve"> FORMTEXT </w:instrText>
            </w:r>
            <w:r w:rsidRPr="001F49A5">
              <w:rPr>
                <w:bCs/>
                <w:sz w:val="22"/>
                <w:szCs w:val="22"/>
              </w:rPr>
            </w:r>
            <w:r w:rsidRPr="001F49A5">
              <w:rPr>
                <w:bCs/>
                <w:sz w:val="22"/>
                <w:szCs w:val="22"/>
              </w:rPr>
              <w:fldChar w:fldCharType="separate"/>
            </w:r>
            <w:r w:rsidRPr="001F49A5">
              <w:rPr>
                <w:bCs/>
                <w:noProof/>
                <w:sz w:val="22"/>
                <w:szCs w:val="22"/>
              </w:rPr>
              <w:t> </w:t>
            </w:r>
            <w:r w:rsidRPr="001F49A5">
              <w:rPr>
                <w:bCs/>
                <w:noProof/>
                <w:sz w:val="22"/>
                <w:szCs w:val="22"/>
              </w:rPr>
              <w:t> </w:t>
            </w:r>
            <w:r w:rsidRPr="001F49A5">
              <w:rPr>
                <w:bCs/>
                <w:noProof/>
                <w:sz w:val="22"/>
                <w:szCs w:val="22"/>
              </w:rPr>
              <w:t> </w:t>
            </w:r>
            <w:r w:rsidRPr="001F49A5">
              <w:rPr>
                <w:bCs/>
                <w:noProof/>
                <w:sz w:val="22"/>
                <w:szCs w:val="22"/>
              </w:rPr>
              <w:t> </w:t>
            </w:r>
            <w:r w:rsidRPr="001F49A5">
              <w:rPr>
                <w:bCs/>
                <w:noProof/>
                <w:sz w:val="22"/>
                <w:szCs w:val="22"/>
              </w:rPr>
              <w:t> </w:t>
            </w:r>
            <w:r w:rsidRPr="001F49A5">
              <w:rPr>
                <w:bCs/>
                <w:sz w:val="22"/>
                <w:szCs w:val="22"/>
              </w:rPr>
              <w:fldChar w:fldCharType="end"/>
            </w:r>
          </w:p>
          <w:p w14:paraId="081973AB" w14:textId="77777777" w:rsidR="009C15E4" w:rsidRPr="001F49A5" w:rsidRDefault="009C15E4" w:rsidP="001F49A5">
            <w:pPr>
              <w:rPr>
                <w:bCs/>
                <w:sz w:val="22"/>
                <w:szCs w:val="22"/>
              </w:rPr>
            </w:pPr>
          </w:p>
          <w:p w14:paraId="53772862" w14:textId="77777777" w:rsidR="009C15E4" w:rsidRPr="001F49A5" w:rsidRDefault="009C15E4" w:rsidP="001F49A5">
            <w:pPr>
              <w:rPr>
                <w:bCs/>
                <w:sz w:val="22"/>
                <w:szCs w:val="22"/>
              </w:rPr>
            </w:pPr>
          </w:p>
        </w:tc>
      </w:tr>
      <w:tr w:rsidR="009C15E4" w:rsidRPr="004F5A2A" w14:paraId="4C7AED8D" w14:textId="77777777" w:rsidTr="001F49A5">
        <w:trPr>
          <w:trHeight w:val="683"/>
        </w:trPr>
        <w:tc>
          <w:tcPr>
            <w:tcW w:w="9653" w:type="dxa"/>
            <w:gridSpan w:val="2"/>
            <w:shd w:val="clear" w:color="auto" w:fill="auto"/>
          </w:tcPr>
          <w:p w14:paraId="64BE7FE2" w14:textId="77777777" w:rsidR="009C15E4" w:rsidRDefault="009C15E4" w:rsidP="001F49A5">
            <w:pPr>
              <w:rPr>
                <w:bCs/>
                <w:sz w:val="22"/>
                <w:szCs w:val="22"/>
              </w:rPr>
            </w:pPr>
            <w:r w:rsidRPr="001F49A5">
              <w:rPr>
                <w:bCs/>
                <w:sz w:val="22"/>
                <w:szCs w:val="22"/>
              </w:rPr>
              <w:t>HYBRID FEE S</w:t>
            </w:r>
            <w:r>
              <w:rPr>
                <w:bCs/>
                <w:sz w:val="22"/>
                <w:szCs w:val="22"/>
              </w:rPr>
              <w:t>UMMARY</w:t>
            </w:r>
          </w:p>
          <w:p w14:paraId="7B3CEDE5" w14:textId="77777777" w:rsidR="009C15E4" w:rsidRDefault="009C15E4" w:rsidP="001F49A5">
            <w:pPr>
              <w:rPr>
                <w:bCs/>
                <w:sz w:val="22"/>
                <w:szCs w:val="22"/>
              </w:rPr>
            </w:pPr>
          </w:p>
          <w:p w14:paraId="6B7F6080" w14:textId="77777777" w:rsidR="009C15E4"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10A60783" w14:textId="77777777" w:rsidR="009C15E4" w:rsidRPr="001F49A5" w:rsidRDefault="009C15E4" w:rsidP="001F49A5">
            <w:pPr>
              <w:rPr>
                <w:bCs/>
                <w:sz w:val="22"/>
                <w:szCs w:val="22"/>
              </w:rPr>
            </w:pPr>
          </w:p>
        </w:tc>
      </w:tr>
      <w:tr w:rsidR="006E5A2C" w:rsidRPr="004F5A2A" w14:paraId="66615832" w14:textId="77777777" w:rsidTr="001F49A5">
        <w:trPr>
          <w:trHeight w:val="683"/>
        </w:trPr>
        <w:tc>
          <w:tcPr>
            <w:tcW w:w="9653" w:type="dxa"/>
            <w:gridSpan w:val="2"/>
            <w:shd w:val="clear" w:color="auto" w:fill="auto"/>
          </w:tcPr>
          <w:p w14:paraId="5A7603E7" w14:textId="6839E028" w:rsidR="006E5A2C" w:rsidRPr="000523A1" w:rsidRDefault="006E5A2C" w:rsidP="001F49A5">
            <w:pPr>
              <w:rPr>
                <w:bCs/>
                <w:sz w:val="22"/>
                <w:szCs w:val="22"/>
              </w:rPr>
            </w:pPr>
            <w:r w:rsidRPr="006E5A2C">
              <w:rPr>
                <w:bCs/>
                <w:sz w:val="22"/>
                <w:szCs w:val="22"/>
              </w:rPr>
              <w:t>LONG-TERM WORKING CAPITAL OPINION</w:t>
            </w:r>
            <w:r w:rsidR="00B2606E">
              <w:rPr>
                <w:bCs/>
                <w:sz w:val="22"/>
                <w:szCs w:val="22"/>
              </w:rPr>
              <w:t xml:space="preserve"> – FLAT FEE PROPOSAL </w:t>
            </w:r>
          </w:p>
          <w:p w14:paraId="2A150149" w14:textId="77777777" w:rsidR="006E5A2C" w:rsidRDefault="006E5A2C" w:rsidP="001F49A5"/>
          <w:p w14:paraId="19CD37FF" w14:textId="77777777" w:rsidR="006E5A2C" w:rsidRDefault="006E5A2C" w:rsidP="006E5A2C">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2CE4F395" w14:textId="6C7EE076" w:rsidR="006E5A2C" w:rsidRPr="001F49A5" w:rsidRDefault="006E5A2C" w:rsidP="001F49A5">
            <w:pPr>
              <w:rPr>
                <w:bCs/>
                <w:sz w:val="22"/>
                <w:szCs w:val="22"/>
              </w:rPr>
            </w:pPr>
          </w:p>
        </w:tc>
      </w:tr>
      <w:bookmarkEnd w:id="12"/>
      <w:tr w:rsidR="009C15E4" w:rsidRPr="004F5A2A" w14:paraId="24EC7B8B" w14:textId="77777777" w:rsidTr="001F49A5">
        <w:trPr>
          <w:trHeight w:val="341"/>
        </w:trPr>
        <w:tc>
          <w:tcPr>
            <w:tcW w:w="9653" w:type="dxa"/>
            <w:gridSpan w:val="2"/>
            <w:shd w:val="clear" w:color="auto" w:fill="BFBFBF"/>
          </w:tcPr>
          <w:p w14:paraId="22F82692" w14:textId="77777777" w:rsidR="009C15E4" w:rsidRPr="004F5A2A" w:rsidRDefault="009C15E4" w:rsidP="001F49A5">
            <w:pPr>
              <w:rPr>
                <w:b/>
                <w:bCs/>
                <w:sz w:val="22"/>
                <w:szCs w:val="22"/>
              </w:rPr>
            </w:pPr>
            <w:r>
              <w:rPr>
                <w:b/>
                <w:bCs/>
                <w:sz w:val="22"/>
                <w:szCs w:val="22"/>
              </w:rPr>
              <w:t>GO DISCLOSURE COUNSEL ASSIGNMENT</w:t>
            </w:r>
          </w:p>
        </w:tc>
      </w:tr>
      <w:tr w:rsidR="009C15E4" w:rsidRPr="004F5A2A" w14:paraId="6566BD7C" w14:textId="77777777" w:rsidTr="001F49A5">
        <w:trPr>
          <w:trHeight w:val="368"/>
        </w:trPr>
        <w:tc>
          <w:tcPr>
            <w:tcW w:w="4320" w:type="dxa"/>
            <w:shd w:val="clear" w:color="auto" w:fill="auto"/>
          </w:tcPr>
          <w:p w14:paraId="1F4C486F" w14:textId="77777777" w:rsidR="009C15E4" w:rsidRPr="003336BD" w:rsidRDefault="009C15E4" w:rsidP="001F49A5">
            <w:pPr>
              <w:rPr>
                <w:bCs/>
                <w:sz w:val="22"/>
                <w:szCs w:val="22"/>
              </w:rPr>
            </w:pPr>
            <w:r w:rsidRPr="00327023">
              <w:rPr>
                <w:bCs/>
                <w:sz w:val="22"/>
                <w:szCs w:val="22"/>
              </w:rPr>
              <w:t xml:space="preserve">HOURLY FEE </w:t>
            </w:r>
            <w:r>
              <w:rPr>
                <w:bCs/>
                <w:sz w:val="22"/>
                <w:szCs w:val="22"/>
              </w:rPr>
              <w:t>SUMMARY</w:t>
            </w:r>
          </w:p>
          <w:p w14:paraId="4C8381FF" w14:textId="77777777" w:rsidR="009C15E4" w:rsidRPr="003336BD" w:rsidRDefault="009C15E4" w:rsidP="001F49A5">
            <w:pPr>
              <w:rPr>
                <w:bCs/>
                <w:sz w:val="22"/>
                <w:szCs w:val="22"/>
              </w:rPr>
            </w:pPr>
          </w:p>
          <w:p w14:paraId="6C1EEBE6" w14:textId="77777777" w:rsidR="009C15E4" w:rsidRPr="003336BD"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794CD5B4" w14:textId="77777777" w:rsidR="009C15E4" w:rsidRPr="003336BD" w:rsidRDefault="009C15E4" w:rsidP="001F49A5">
            <w:pPr>
              <w:rPr>
                <w:bCs/>
                <w:sz w:val="22"/>
                <w:szCs w:val="22"/>
              </w:rPr>
            </w:pPr>
          </w:p>
          <w:p w14:paraId="13AF6409" w14:textId="77777777" w:rsidR="009C15E4" w:rsidRPr="00327023" w:rsidRDefault="009C15E4" w:rsidP="001F49A5">
            <w:pPr>
              <w:rPr>
                <w:bCs/>
                <w:sz w:val="22"/>
                <w:szCs w:val="22"/>
              </w:rPr>
            </w:pPr>
          </w:p>
        </w:tc>
        <w:tc>
          <w:tcPr>
            <w:tcW w:w="5333" w:type="dxa"/>
            <w:shd w:val="clear" w:color="auto" w:fill="auto"/>
          </w:tcPr>
          <w:p w14:paraId="4A9D7AAC" w14:textId="284CE574" w:rsidR="009C15E4" w:rsidRPr="003336BD" w:rsidRDefault="009C15E4" w:rsidP="001F49A5">
            <w:pPr>
              <w:rPr>
                <w:bCs/>
                <w:sz w:val="22"/>
                <w:szCs w:val="22"/>
              </w:rPr>
            </w:pPr>
            <w:r w:rsidRPr="003336BD">
              <w:rPr>
                <w:bCs/>
                <w:sz w:val="22"/>
                <w:szCs w:val="22"/>
              </w:rPr>
              <w:t>SERVICES COVERED</w:t>
            </w:r>
            <w:r w:rsidR="00B2606E">
              <w:rPr>
                <w:bCs/>
                <w:sz w:val="22"/>
                <w:szCs w:val="22"/>
              </w:rPr>
              <w:t xml:space="preserve"> – HOURLY FEE</w:t>
            </w:r>
          </w:p>
          <w:p w14:paraId="1677E451" w14:textId="77777777" w:rsidR="009C15E4" w:rsidRPr="003336BD" w:rsidRDefault="009C15E4" w:rsidP="001F49A5">
            <w:pPr>
              <w:rPr>
                <w:bCs/>
                <w:sz w:val="22"/>
                <w:szCs w:val="22"/>
              </w:rPr>
            </w:pPr>
          </w:p>
          <w:p w14:paraId="107EA403" w14:textId="77777777" w:rsidR="009C15E4" w:rsidRPr="003336BD"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tc>
      </w:tr>
      <w:tr w:rsidR="009C15E4" w:rsidRPr="004F5A2A" w14:paraId="63D0FC38" w14:textId="77777777" w:rsidTr="001F49A5">
        <w:trPr>
          <w:trHeight w:val="683"/>
        </w:trPr>
        <w:tc>
          <w:tcPr>
            <w:tcW w:w="4320" w:type="dxa"/>
            <w:shd w:val="clear" w:color="auto" w:fill="auto"/>
          </w:tcPr>
          <w:p w14:paraId="3180394E" w14:textId="77777777" w:rsidR="009C15E4" w:rsidRPr="003336BD" w:rsidRDefault="009C15E4" w:rsidP="001F49A5">
            <w:pPr>
              <w:rPr>
                <w:bCs/>
                <w:sz w:val="22"/>
                <w:szCs w:val="22"/>
              </w:rPr>
            </w:pPr>
            <w:r w:rsidRPr="00327023">
              <w:rPr>
                <w:bCs/>
                <w:sz w:val="22"/>
                <w:szCs w:val="22"/>
              </w:rPr>
              <w:t xml:space="preserve">FIXED FEE </w:t>
            </w:r>
            <w:r>
              <w:rPr>
                <w:bCs/>
                <w:sz w:val="22"/>
                <w:szCs w:val="22"/>
              </w:rPr>
              <w:t>SUMMARY</w:t>
            </w:r>
          </w:p>
          <w:p w14:paraId="1F233776" w14:textId="77777777" w:rsidR="009C15E4" w:rsidRPr="003336BD" w:rsidRDefault="009C15E4" w:rsidP="001F49A5">
            <w:pPr>
              <w:rPr>
                <w:bCs/>
                <w:sz w:val="22"/>
                <w:szCs w:val="22"/>
              </w:rPr>
            </w:pPr>
          </w:p>
          <w:p w14:paraId="25136058" w14:textId="77777777" w:rsidR="009C15E4" w:rsidRPr="00327023"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tc>
        <w:tc>
          <w:tcPr>
            <w:tcW w:w="5333" w:type="dxa"/>
            <w:shd w:val="clear" w:color="auto" w:fill="auto"/>
          </w:tcPr>
          <w:p w14:paraId="7363C577" w14:textId="2F39C4FB" w:rsidR="009C15E4" w:rsidRPr="003336BD" w:rsidRDefault="009C15E4" w:rsidP="001F49A5">
            <w:pPr>
              <w:rPr>
                <w:bCs/>
                <w:sz w:val="22"/>
                <w:szCs w:val="22"/>
              </w:rPr>
            </w:pPr>
            <w:r w:rsidRPr="003336BD">
              <w:rPr>
                <w:bCs/>
                <w:sz w:val="22"/>
                <w:szCs w:val="22"/>
              </w:rPr>
              <w:t>SERVICES/OPINIONS COVERED</w:t>
            </w:r>
            <w:r w:rsidR="00B2606E">
              <w:rPr>
                <w:bCs/>
                <w:sz w:val="22"/>
                <w:szCs w:val="22"/>
              </w:rPr>
              <w:t xml:space="preserve"> – FLAT FEE</w:t>
            </w:r>
          </w:p>
          <w:p w14:paraId="559B5A98" w14:textId="77777777" w:rsidR="009C15E4" w:rsidRPr="003336BD" w:rsidRDefault="009C15E4" w:rsidP="001F49A5">
            <w:pPr>
              <w:rPr>
                <w:bCs/>
                <w:sz w:val="22"/>
                <w:szCs w:val="22"/>
              </w:rPr>
            </w:pPr>
          </w:p>
          <w:p w14:paraId="43EF5681" w14:textId="77777777" w:rsidR="009C15E4" w:rsidRPr="003336BD"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4FD6722C" w14:textId="77777777" w:rsidR="009C15E4" w:rsidRPr="003336BD" w:rsidRDefault="009C15E4" w:rsidP="001F49A5">
            <w:pPr>
              <w:rPr>
                <w:bCs/>
                <w:sz w:val="22"/>
                <w:szCs w:val="22"/>
              </w:rPr>
            </w:pPr>
          </w:p>
          <w:p w14:paraId="70E6DD9E" w14:textId="77777777" w:rsidR="009C15E4" w:rsidRPr="003336BD" w:rsidRDefault="009C15E4" w:rsidP="001F49A5">
            <w:pPr>
              <w:rPr>
                <w:bCs/>
                <w:sz w:val="22"/>
                <w:szCs w:val="22"/>
              </w:rPr>
            </w:pPr>
          </w:p>
        </w:tc>
      </w:tr>
      <w:tr w:rsidR="009C15E4" w:rsidRPr="004F5A2A" w14:paraId="34CCA24C" w14:textId="77777777" w:rsidTr="001F49A5">
        <w:trPr>
          <w:trHeight w:val="683"/>
        </w:trPr>
        <w:tc>
          <w:tcPr>
            <w:tcW w:w="9653" w:type="dxa"/>
            <w:gridSpan w:val="2"/>
            <w:shd w:val="clear" w:color="auto" w:fill="auto"/>
          </w:tcPr>
          <w:p w14:paraId="6368DA11" w14:textId="77777777" w:rsidR="009C15E4" w:rsidRDefault="009C15E4" w:rsidP="001F49A5">
            <w:pPr>
              <w:rPr>
                <w:bCs/>
                <w:sz w:val="22"/>
                <w:szCs w:val="22"/>
              </w:rPr>
            </w:pPr>
            <w:r w:rsidRPr="003336BD">
              <w:rPr>
                <w:bCs/>
                <w:sz w:val="22"/>
                <w:szCs w:val="22"/>
              </w:rPr>
              <w:t>HYBRID FEE S</w:t>
            </w:r>
            <w:r>
              <w:rPr>
                <w:bCs/>
                <w:sz w:val="22"/>
                <w:szCs w:val="22"/>
              </w:rPr>
              <w:t>UMMARY</w:t>
            </w:r>
          </w:p>
          <w:p w14:paraId="4882A354" w14:textId="77777777" w:rsidR="009C15E4" w:rsidRDefault="009C15E4" w:rsidP="001F49A5">
            <w:pPr>
              <w:rPr>
                <w:bCs/>
                <w:sz w:val="22"/>
                <w:szCs w:val="22"/>
              </w:rPr>
            </w:pPr>
          </w:p>
          <w:p w14:paraId="56C0AF98" w14:textId="77777777" w:rsidR="009C15E4"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391D5181" w14:textId="77777777" w:rsidR="009C15E4" w:rsidRPr="003336BD" w:rsidRDefault="009C15E4" w:rsidP="001F49A5">
            <w:pPr>
              <w:rPr>
                <w:bCs/>
                <w:sz w:val="22"/>
                <w:szCs w:val="22"/>
              </w:rPr>
            </w:pPr>
          </w:p>
        </w:tc>
      </w:tr>
      <w:tr w:rsidR="009C15E4" w:rsidRPr="004F5A2A" w14:paraId="70EF1794" w14:textId="77777777" w:rsidTr="001F49A5">
        <w:trPr>
          <w:trHeight w:val="341"/>
        </w:trPr>
        <w:tc>
          <w:tcPr>
            <w:tcW w:w="9653" w:type="dxa"/>
            <w:gridSpan w:val="2"/>
            <w:shd w:val="clear" w:color="auto" w:fill="BFBFBF"/>
          </w:tcPr>
          <w:p w14:paraId="297B0EAF" w14:textId="77777777" w:rsidR="009C15E4" w:rsidRPr="004F5A2A" w:rsidRDefault="009C15E4" w:rsidP="001F49A5">
            <w:pPr>
              <w:rPr>
                <w:b/>
                <w:bCs/>
                <w:sz w:val="22"/>
                <w:szCs w:val="22"/>
              </w:rPr>
            </w:pPr>
            <w:r>
              <w:rPr>
                <w:b/>
                <w:bCs/>
                <w:sz w:val="22"/>
                <w:szCs w:val="22"/>
              </w:rPr>
              <w:t>APPENDIX A DISCLOSURE ASSIGNMENT</w:t>
            </w:r>
          </w:p>
        </w:tc>
      </w:tr>
      <w:tr w:rsidR="009C15E4" w:rsidRPr="004F5A2A" w14:paraId="74D33BA7" w14:textId="77777777" w:rsidTr="001F49A5">
        <w:trPr>
          <w:trHeight w:val="368"/>
        </w:trPr>
        <w:tc>
          <w:tcPr>
            <w:tcW w:w="4320" w:type="dxa"/>
            <w:shd w:val="clear" w:color="auto" w:fill="auto"/>
          </w:tcPr>
          <w:p w14:paraId="1F6877F6" w14:textId="77777777" w:rsidR="009C15E4" w:rsidRPr="003336BD" w:rsidRDefault="009C15E4" w:rsidP="001F49A5">
            <w:pPr>
              <w:rPr>
                <w:bCs/>
                <w:sz w:val="22"/>
                <w:szCs w:val="22"/>
              </w:rPr>
            </w:pPr>
            <w:r w:rsidRPr="00327023">
              <w:rPr>
                <w:bCs/>
                <w:sz w:val="22"/>
                <w:szCs w:val="22"/>
              </w:rPr>
              <w:t xml:space="preserve">HOURLY FEE </w:t>
            </w:r>
            <w:r>
              <w:rPr>
                <w:bCs/>
                <w:sz w:val="22"/>
                <w:szCs w:val="22"/>
              </w:rPr>
              <w:t>SUMMARY</w:t>
            </w:r>
          </w:p>
          <w:p w14:paraId="05CEE120" w14:textId="77777777" w:rsidR="009C15E4" w:rsidRPr="003336BD" w:rsidRDefault="009C15E4" w:rsidP="001F49A5">
            <w:pPr>
              <w:rPr>
                <w:bCs/>
                <w:sz w:val="22"/>
                <w:szCs w:val="22"/>
              </w:rPr>
            </w:pPr>
          </w:p>
          <w:p w14:paraId="6C9F4A69" w14:textId="77777777" w:rsidR="009C15E4" w:rsidRPr="003336BD"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35F68A6B" w14:textId="77777777" w:rsidR="009C15E4" w:rsidRPr="003336BD" w:rsidRDefault="009C15E4" w:rsidP="001F49A5">
            <w:pPr>
              <w:rPr>
                <w:bCs/>
                <w:sz w:val="22"/>
                <w:szCs w:val="22"/>
              </w:rPr>
            </w:pPr>
          </w:p>
          <w:p w14:paraId="4E28F07B" w14:textId="77777777" w:rsidR="009C15E4" w:rsidRPr="00327023" w:rsidRDefault="009C15E4" w:rsidP="001F49A5">
            <w:pPr>
              <w:rPr>
                <w:bCs/>
                <w:sz w:val="22"/>
                <w:szCs w:val="22"/>
              </w:rPr>
            </w:pPr>
          </w:p>
        </w:tc>
        <w:tc>
          <w:tcPr>
            <w:tcW w:w="5333" w:type="dxa"/>
            <w:shd w:val="clear" w:color="auto" w:fill="auto"/>
          </w:tcPr>
          <w:p w14:paraId="139E6EB6" w14:textId="0A336247" w:rsidR="009C15E4" w:rsidRPr="003336BD" w:rsidRDefault="009C15E4" w:rsidP="001F49A5">
            <w:pPr>
              <w:rPr>
                <w:bCs/>
                <w:sz w:val="22"/>
                <w:szCs w:val="22"/>
              </w:rPr>
            </w:pPr>
            <w:r w:rsidRPr="003336BD">
              <w:rPr>
                <w:bCs/>
                <w:sz w:val="22"/>
                <w:szCs w:val="22"/>
              </w:rPr>
              <w:t>SERVICES COVERED</w:t>
            </w:r>
            <w:r w:rsidR="00B2606E">
              <w:rPr>
                <w:bCs/>
                <w:sz w:val="22"/>
                <w:szCs w:val="22"/>
              </w:rPr>
              <w:t xml:space="preserve"> – HOURLY FEE</w:t>
            </w:r>
          </w:p>
          <w:p w14:paraId="4009EF4B" w14:textId="77777777" w:rsidR="009C15E4" w:rsidRPr="003336BD" w:rsidRDefault="009C15E4" w:rsidP="001F49A5">
            <w:pPr>
              <w:rPr>
                <w:bCs/>
                <w:sz w:val="22"/>
                <w:szCs w:val="22"/>
              </w:rPr>
            </w:pPr>
          </w:p>
          <w:p w14:paraId="582DEC68" w14:textId="77777777" w:rsidR="009C15E4" w:rsidRPr="003336BD"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tc>
      </w:tr>
      <w:tr w:rsidR="009C15E4" w:rsidRPr="004F5A2A" w14:paraId="12F2F70E" w14:textId="77777777" w:rsidTr="001F49A5">
        <w:trPr>
          <w:trHeight w:val="683"/>
        </w:trPr>
        <w:tc>
          <w:tcPr>
            <w:tcW w:w="4320" w:type="dxa"/>
            <w:shd w:val="clear" w:color="auto" w:fill="auto"/>
          </w:tcPr>
          <w:p w14:paraId="66A468C1" w14:textId="77777777" w:rsidR="009C15E4" w:rsidRPr="003336BD" w:rsidRDefault="009C15E4" w:rsidP="001F49A5">
            <w:pPr>
              <w:rPr>
                <w:bCs/>
                <w:sz w:val="22"/>
                <w:szCs w:val="22"/>
              </w:rPr>
            </w:pPr>
            <w:r w:rsidRPr="00327023">
              <w:rPr>
                <w:bCs/>
                <w:sz w:val="22"/>
                <w:szCs w:val="22"/>
              </w:rPr>
              <w:t xml:space="preserve">FIXED FEE </w:t>
            </w:r>
            <w:r>
              <w:rPr>
                <w:bCs/>
                <w:sz w:val="22"/>
                <w:szCs w:val="22"/>
              </w:rPr>
              <w:t>SUMMARY</w:t>
            </w:r>
          </w:p>
          <w:p w14:paraId="4C53B451" w14:textId="77777777" w:rsidR="009C15E4" w:rsidRPr="003336BD" w:rsidRDefault="009C15E4" w:rsidP="001F49A5">
            <w:pPr>
              <w:rPr>
                <w:bCs/>
                <w:sz w:val="22"/>
                <w:szCs w:val="22"/>
              </w:rPr>
            </w:pPr>
          </w:p>
          <w:p w14:paraId="42395919" w14:textId="77777777" w:rsidR="009C15E4" w:rsidRPr="00327023"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tc>
        <w:tc>
          <w:tcPr>
            <w:tcW w:w="5333" w:type="dxa"/>
            <w:shd w:val="clear" w:color="auto" w:fill="auto"/>
          </w:tcPr>
          <w:p w14:paraId="2D1BED79" w14:textId="50545D5E" w:rsidR="009C15E4" w:rsidRPr="003336BD" w:rsidRDefault="009C15E4" w:rsidP="001F49A5">
            <w:pPr>
              <w:rPr>
                <w:bCs/>
                <w:sz w:val="22"/>
                <w:szCs w:val="22"/>
              </w:rPr>
            </w:pPr>
            <w:r w:rsidRPr="003336BD">
              <w:rPr>
                <w:bCs/>
                <w:sz w:val="22"/>
                <w:szCs w:val="22"/>
              </w:rPr>
              <w:t>SERVICES/OPINIONS COVERED</w:t>
            </w:r>
            <w:r w:rsidR="00B2606E">
              <w:rPr>
                <w:bCs/>
                <w:sz w:val="22"/>
                <w:szCs w:val="22"/>
              </w:rPr>
              <w:t xml:space="preserve"> – FLAT FEE</w:t>
            </w:r>
          </w:p>
          <w:p w14:paraId="2372092F" w14:textId="77777777" w:rsidR="009C15E4" w:rsidRPr="003336BD" w:rsidRDefault="009C15E4" w:rsidP="001F49A5">
            <w:pPr>
              <w:rPr>
                <w:bCs/>
                <w:sz w:val="22"/>
                <w:szCs w:val="22"/>
              </w:rPr>
            </w:pPr>
          </w:p>
          <w:p w14:paraId="68D71BD3" w14:textId="77777777" w:rsidR="009C15E4" w:rsidRPr="003336BD"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1F535FFF" w14:textId="77777777" w:rsidR="009C15E4" w:rsidRPr="003336BD" w:rsidRDefault="009C15E4" w:rsidP="001F49A5">
            <w:pPr>
              <w:rPr>
                <w:bCs/>
                <w:sz w:val="22"/>
                <w:szCs w:val="22"/>
              </w:rPr>
            </w:pPr>
          </w:p>
          <w:p w14:paraId="5C967428" w14:textId="77777777" w:rsidR="009C15E4" w:rsidRPr="003336BD" w:rsidRDefault="009C15E4" w:rsidP="001F49A5">
            <w:pPr>
              <w:rPr>
                <w:bCs/>
                <w:sz w:val="22"/>
                <w:szCs w:val="22"/>
              </w:rPr>
            </w:pPr>
          </w:p>
        </w:tc>
      </w:tr>
      <w:tr w:rsidR="009C15E4" w:rsidRPr="004F5A2A" w14:paraId="6CDACE98" w14:textId="77777777" w:rsidTr="001F49A5">
        <w:trPr>
          <w:trHeight w:val="683"/>
        </w:trPr>
        <w:tc>
          <w:tcPr>
            <w:tcW w:w="9653" w:type="dxa"/>
            <w:gridSpan w:val="2"/>
            <w:shd w:val="clear" w:color="auto" w:fill="auto"/>
          </w:tcPr>
          <w:p w14:paraId="0DFC835E" w14:textId="77777777" w:rsidR="009C15E4" w:rsidRDefault="009C15E4" w:rsidP="001F49A5">
            <w:pPr>
              <w:rPr>
                <w:bCs/>
                <w:sz w:val="22"/>
                <w:szCs w:val="22"/>
              </w:rPr>
            </w:pPr>
            <w:r w:rsidRPr="003336BD">
              <w:rPr>
                <w:bCs/>
                <w:sz w:val="22"/>
                <w:szCs w:val="22"/>
              </w:rPr>
              <w:t>HYBRID FEE S</w:t>
            </w:r>
            <w:r>
              <w:rPr>
                <w:bCs/>
                <w:sz w:val="22"/>
                <w:szCs w:val="22"/>
              </w:rPr>
              <w:t>UMMARY</w:t>
            </w:r>
          </w:p>
          <w:p w14:paraId="2B48783A" w14:textId="77777777" w:rsidR="009C15E4" w:rsidRDefault="009C15E4" w:rsidP="001F49A5">
            <w:pPr>
              <w:rPr>
                <w:bCs/>
                <w:sz w:val="22"/>
                <w:szCs w:val="22"/>
              </w:rPr>
            </w:pPr>
          </w:p>
          <w:p w14:paraId="16392310" w14:textId="77777777" w:rsidR="009C15E4"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2902D60F" w14:textId="77777777" w:rsidR="009C15E4" w:rsidRPr="003336BD" w:rsidRDefault="009C15E4" w:rsidP="001F49A5">
            <w:pPr>
              <w:rPr>
                <w:bCs/>
                <w:sz w:val="22"/>
                <w:szCs w:val="22"/>
              </w:rPr>
            </w:pPr>
          </w:p>
        </w:tc>
      </w:tr>
      <w:tr w:rsidR="009C15E4" w:rsidRPr="004F5A2A" w14:paraId="30A3AB83" w14:textId="77777777" w:rsidTr="001F49A5">
        <w:trPr>
          <w:trHeight w:val="683"/>
        </w:trPr>
        <w:tc>
          <w:tcPr>
            <w:tcW w:w="9653" w:type="dxa"/>
            <w:gridSpan w:val="2"/>
            <w:shd w:val="clear" w:color="auto" w:fill="auto"/>
          </w:tcPr>
          <w:p w14:paraId="2134928F" w14:textId="70672EA4" w:rsidR="009C15E4" w:rsidRDefault="009C15E4" w:rsidP="001F49A5">
            <w:pPr>
              <w:rPr>
                <w:bCs/>
                <w:sz w:val="22"/>
                <w:szCs w:val="22"/>
              </w:rPr>
            </w:pPr>
            <w:r>
              <w:rPr>
                <w:bCs/>
                <w:sz w:val="22"/>
                <w:szCs w:val="22"/>
              </w:rPr>
              <w:lastRenderedPageBreak/>
              <w:t xml:space="preserve">CAL-MORTGAGE PROGRAM FLAT </w:t>
            </w:r>
            <w:r w:rsidR="00B2606E">
              <w:rPr>
                <w:bCs/>
                <w:sz w:val="22"/>
                <w:szCs w:val="22"/>
              </w:rPr>
              <w:t>PROPOSAL</w:t>
            </w:r>
          </w:p>
          <w:p w14:paraId="78E73CCE" w14:textId="77777777" w:rsidR="009C15E4" w:rsidRDefault="009C15E4" w:rsidP="001F49A5">
            <w:pPr>
              <w:rPr>
                <w:bCs/>
                <w:sz w:val="22"/>
                <w:szCs w:val="22"/>
              </w:rPr>
            </w:pPr>
          </w:p>
          <w:p w14:paraId="5A14A844" w14:textId="77777777" w:rsidR="009C15E4"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6588153D" w14:textId="77777777" w:rsidR="009C15E4" w:rsidRPr="003336BD" w:rsidRDefault="009C15E4" w:rsidP="001F49A5">
            <w:pPr>
              <w:rPr>
                <w:bCs/>
                <w:sz w:val="22"/>
                <w:szCs w:val="22"/>
              </w:rPr>
            </w:pPr>
          </w:p>
        </w:tc>
      </w:tr>
      <w:tr w:rsidR="009C15E4" w:rsidRPr="004F5A2A" w14:paraId="639E779D" w14:textId="77777777" w:rsidTr="001F49A5">
        <w:trPr>
          <w:trHeight w:val="341"/>
        </w:trPr>
        <w:tc>
          <w:tcPr>
            <w:tcW w:w="9653" w:type="dxa"/>
            <w:gridSpan w:val="2"/>
            <w:shd w:val="clear" w:color="auto" w:fill="BFBFBF"/>
          </w:tcPr>
          <w:p w14:paraId="11F79F14" w14:textId="77777777" w:rsidR="009C15E4" w:rsidRPr="004F5A2A" w:rsidRDefault="009C15E4" w:rsidP="001F49A5">
            <w:pPr>
              <w:rPr>
                <w:b/>
                <w:bCs/>
                <w:sz w:val="22"/>
                <w:szCs w:val="22"/>
              </w:rPr>
            </w:pPr>
            <w:r>
              <w:rPr>
                <w:b/>
                <w:bCs/>
                <w:sz w:val="22"/>
                <w:szCs w:val="22"/>
              </w:rPr>
              <w:t>VETS DISCLOSURE COUNSEL ASSIGNMENT</w:t>
            </w:r>
          </w:p>
        </w:tc>
      </w:tr>
      <w:tr w:rsidR="009C15E4" w:rsidRPr="004F5A2A" w14:paraId="14879A56" w14:textId="77777777" w:rsidTr="001F49A5">
        <w:trPr>
          <w:trHeight w:val="368"/>
        </w:trPr>
        <w:tc>
          <w:tcPr>
            <w:tcW w:w="4320" w:type="dxa"/>
            <w:shd w:val="clear" w:color="auto" w:fill="auto"/>
          </w:tcPr>
          <w:p w14:paraId="515FA876" w14:textId="77777777" w:rsidR="009C15E4" w:rsidRPr="003336BD" w:rsidRDefault="009C15E4" w:rsidP="001F49A5">
            <w:pPr>
              <w:rPr>
                <w:bCs/>
                <w:sz w:val="22"/>
                <w:szCs w:val="22"/>
              </w:rPr>
            </w:pPr>
            <w:r w:rsidRPr="00327023">
              <w:rPr>
                <w:bCs/>
                <w:sz w:val="22"/>
                <w:szCs w:val="22"/>
              </w:rPr>
              <w:t xml:space="preserve">HOURLY FEE </w:t>
            </w:r>
            <w:r>
              <w:rPr>
                <w:bCs/>
                <w:sz w:val="22"/>
                <w:szCs w:val="22"/>
              </w:rPr>
              <w:t>SUMMARY (Include a Not to Exceed Cap)</w:t>
            </w:r>
          </w:p>
          <w:p w14:paraId="5DCE9C52" w14:textId="77777777" w:rsidR="009C15E4" w:rsidRPr="003336BD" w:rsidRDefault="009C15E4" w:rsidP="001F49A5">
            <w:pPr>
              <w:rPr>
                <w:bCs/>
                <w:sz w:val="22"/>
                <w:szCs w:val="22"/>
              </w:rPr>
            </w:pPr>
          </w:p>
          <w:p w14:paraId="5A4FCD61" w14:textId="77777777" w:rsidR="009C15E4" w:rsidRPr="003336BD"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4286E90A" w14:textId="77777777" w:rsidR="009C15E4" w:rsidRPr="003336BD" w:rsidRDefault="009C15E4" w:rsidP="001F49A5">
            <w:pPr>
              <w:rPr>
                <w:bCs/>
                <w:sz w:val="22"/>
                <w:szCs w:val="22"/>
              </w:rPr>
            </w:pPr>
          </w:p>
          <w:p w14:paraId="4CA70690" w14:textId="77777777" w:rsidR="009C15E4" w:rsidRPr="00327023" w:rsidRDefault="009C15E4" w:rsidP="001F49A5">
            <w:pPr>
              <w:rPr>
                <w:bCs/>
                <w:sz w:val="22"/>
                <w:szCs w:val="22"/>
              </w:rPr>
            </w:pPr>
          </w:p>
        </w:tc>
        <w:tc>
          <w:tcPr>
            <w:tcW w:w="5333" w:type="dxa"/>
            <w:shd w:val="clear" w:color="auto" w:fill="auto"/>
          </w:tcPr>
          <w:p w14:paraId="3EB3ABA9" w14:textId="25D20DA5" w:rsidR="009C15E4" w:rsidRPr="003336BD" w:rsidRDefault="009C15E4" w:rsidP="001F49A5">
            <w:pPr>
              <w:rPr>
                <w:bCs/>
                <w:sz w:val="22"/>
                <w:szCs w:val="22"/>
              </w:rPr>
            </w:pPr>
            <w:r w:rsidRPr="003336BD">
              <w:rPr>
                <w:bCs/>
                <w:sz w:val="22"/>
                <w:szCs w:val="22"/>
              </w:rPr>
              <w:t>SERVICES COVERED</w:t>
            </w:r>
            <w:r w:rsidR="00B2606E">
              <w:rPr>
                <w:bCs/>
                <w:sz w:val="22"/>
                <w:szCs w:val="22"/>
              </w:rPr>
              <w:t xml:space="preserve"> – HOURLY FE</w:t>
            </w:r>
            <w:r w:rsidR="0044480D">
              <w:rPr>
                <w:bCs/>
                <w:sz w:val="22"/>
                <w:szCs w:val="22"/>
              </w:rPr>
              <w:t>E</w:t>
            </w:r>
          </w:p>
          <w:p w14:paraId="0DCD5B13" w14:textId="77777777" w:rsidR="009C15E4" w:rsidRPr="003336BD" w:rsidRDefault="009C15E4" w:rsidP="001F49A5">
            <w:pPr>
              <w:rPr>
                <w:bCs/>
                <w:sz w:val="22"/>
                <w:szCs w:val="22"/>
              </w:rPr>
            </w:pPr>
          </w:p>
          <w:p w14:paraId="1A2B91DD" w14:textId="77777777" w:rsidR="009C15E4" w:rsidRPr="003336BD"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tc>
      </w:tr>
      <w:tr w:rsidR="009C15E4" w:rsidRPr="004F5A2A" w14:paraId="2D14D828" w14:textId="77777777" w:rsidTr="001F49A5">
        <w:trPr>
          <w:trHeight w:val="683"/>
        </w:trPr>
        <w:tc>
          <w:tcPr>
            <w:tcW w:w="4320" w:type="dxa"/>
            <w:shd w:val="clear" w:color="auto" w:fill="auto"/>
          </w:tcPr>
          <w:p w14:paraId="3138A0EC" w14:textId="77777777" w:rsidR="009C15E4" w:rsidRPr="003336BD" w:rsidRDefault="009C15E4" w:rsidP="001F49A5">
            <w:pPr>
              <w:rPr>
                <w:bCs/>
                <w:sz w:val="22"/>
                <w:szCs w:val="22"/>
              </w:rPr>
            </w:pPr>
            <w:r w:rsidRPr="00327023">
              <w:rPr>
                <w:bCs/>
                <w:sz w:val="22"/>
                <w:szCs w:val="22"/>
              </w:rPr>
              <w:t xml:space="preserve">FIXED FEE </w:t>
            </w:r>
            <w:r>
              <w:rPr>
                <w:bCs/>
                <w:sz w:val="22"/>
                <w:szCs w:val="22"/>
              </w:rPr>
              <w:t>SUMMARY</w:t>
            </w:r>
          </w:p>
          <w:p w14:paraId="648242BE" w14:textId="77777777" w:rsidR="009C15E4" w:rsidRPr="003336BD" w:rsidRDefault="009C15E4" w:rsidP="001F49A5">
            <w:pPr>
              <w:rPr>
                <w:bCs/>
                <w:sz w:val="22"/>
                <w:szCs w:val="22"/>
              </w:rPr>
            </w:pPr>
          </w:p>
          <w:p w14:paraId="74475806" w14:textId="77777777" w:rsidR="009C15E4" w:rsidRPr="00327023"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tc>
        <w:tc>
          <w:tcPr>
            <w:tcW w:w="5333" w:type="dxa"/>
            <w:shd w:val="clear" w:color="auto" w:fill="auto"/>
          </w:tcPr>
          <w:p w14:paraId="7008D8AF" w14:textId="28BF8ABF" w:rsidR="009C15E4" w:rsidRPr="003336BD" w:rsidRDefault="009C15E4" w:rsidP="001F49A5">
            <w:pPr>
              <w:rPr>
                <w:bCs/>
                <w:sz w:val="22"/>
                <w:szCs w:val="22"/>
              </w:rPr>
            </w:pPr>
            <w:r w:rsidRPr="003336BD">
              <w:rPr>
                <w:bCs/>
                <w:sz w:val="22"/>
                <w:szCs w:val="22"/>
              </w:rPr>
              <w:t>SERVICES/OPINIONS COVERED</w:t>
            </w:r>
            <w:r w:rsidR="00B2606E">
              <w:rPr>
                <w:bCs/>
                <w:sz w:val="22"/>
                <w:szCs w:val="22"/>
              </w:rPr>
              <w:t xml:space="preserve"> – FIXED FEE</w:t>
            </w:r>
          </w:p>
          <w:p w14:paraId="1E6DB12E" w14:textId="77777777" w:rsidR="009C15E4" w:rsidRPr="003336BD" w:rsidRDefault="009C15E4" w:rsidP="001F49A5">
            <w:pPr>
              <w:rPr>
                <w:bCs/>
                <w:sz w:val="22"/>
                <w:szCs w:val="22"/>
              </w:rPr>
            </w:pPr>
          </w:p>
          <w:p w14:paraId="7132F212" w14:textId="77777777" w:rsidR="009C15E4" w:rsidRPr="003336BD"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4A7D9DDD" w14:textId="77777777" w:rsidR="009C15E4" w:rsidRPr="003336BD" w:rsidRDefault="009C15E4" w:rsidP="001F49A5">
            <w:pPr>
              <w:rPr>
                <w:bCs/>
                <w:sz w:val="22"/>
                <w:szCs w:val="22"/>
              </w:rPr>
            </w:pPr>
          </w:p>
          <w:p w14:paraId="501E14E8" w14:textId="77777777" w:rsidR="009C15E4" w:rsidRPr="003336BD" w:rsidRDefault="009C15E4" w:rsidP="001F49A5">
            <w:pPr>
              <w:rPr>
                <w:bCs/>
                <w:sz w:val="22"/>
                <w:szCs w:val="22"/>
              </w:rPr>
            </w:pPr>
          </w:p>
        </w:tc>
      </w:tr>
      <w:tr w:rsidR="009C15E4" w:rsidRPr="004F5A2A" w14:paraId="62B14D25" w14:textId="77777777" w:rsidTr="001F49A5">
        <w:trPr>
          <w:trHeight w:val="683"/>
        </w:trPr>
        <w:tc>
          <w:tcPr>
            <w:tcW w:w="9653" w:type="dxa"/>
            <w:gridSpan w:val="2"/>
            <w:shd w:val="clear" w:color="auto" w:fill="auto"/>
          </w:tcPr>
          <w:p w14:paraId="13B54223" w14:textId="77777777" w:rsidR="009C15E4" w:rsidRDefault="009C15E4" w:rsidP="001F49A5">
            <w:pPr>
              <w:rPr>
                <w:bCs/>
                <w:sz w:val="22"/>
                <w:szCs w:val="22"/>
              </w:rPr>
            </w:pPr>
            <w:r w:rsidRPr="003336BD">
              <w:rPr>
                <w:bCs/>
                <w:sz w:val="22"/>
                <w:szCs w:val="22"/>
              </w:rPr>
              <w:t>HYBRID FEE S</w:t>
            </w:r>
            <w:r>
              <w:rPr>
                <w:bCs/>
                <w:sz w:val="22"/>
                <w:szCs w:val="22"/>
              </w:rPr>
              <w:t>UMMARY (Include a Not to Exceed Cap)</w:t>
            </w:r>
          </w:p>
          <w:p w14:paraId="2BB6F6C2" w14:textId="77777777" w:rsidR="009C15E4" w:rsidRDefault="009C15E4" w:rsidP="001F49A5">
            <w:pPr>
              <w:rPr>
                <w:bCs/>
                <w:sz w:val="22"/>
                <w:szCs w:val="22"/>
              </w:rPr>
            </w:pPr>
          </w:p>
          <w:p w14:paraId="2525333D" w14:textId="77777777" w:rsidR="009C15E4" w:rsidRDefault="009C15E4" w:rsidP="001F49A5">
            <w:pPr>
              <w:rPr>
                <w:bCs/>
                <w:sz w:val="22"/>
                <w:szCs w:val="22"/>
              </w:rPr>
            </w:pPr>
            <w:r w:rsidRPr="003336BD">
              <w:rPr>
                <w:bCs/>
                <w:sz w:val="22"/>
                <w:szCs w:val="22"/>
              </w:rPr>
              <w:fldChar w:fldCharType="begin">
                <w:ffData>
                  <w:name w:val="Text121"/>
                  <w:enabled/>
                  <w:calcOnExit w:val="0"/>
                  <w:textInput/>
                </w:ffData>
              </w:fldChar>
            </w:r>
            <w:r w:rsidRPr="003336BD">
              <w:rPr>
                <w:bCs/>
                <w:sz w:val="22"/>
                <w:szCs w:val="22"/>
              </w:rPr>
              <w:instrText xml:space="preserve"> FORMTEXT </w:instrText>
            </w:r>
            <w:r w:rsidRPr="003336BD">
              <w:rPr>
                <w:bCs/>
                <w:sz w:val="22"/>
                <w:szCs w:val="22"/>
              </w:rPr>
            </w:r>
            <w:r w:rsidRPr="003336BD">
              <w:rPr>
                <w:bCs/>
                <w:sz w:val="22"/>
                <w:szCs w:val="22"/>
              </w:rPr>
              <w:fldChar w:fldCharType="separate"/>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noProof/>
                <w:sz w:val="22"/>
                <w:szCs w:val="22"/>
              </w:rPr>
              <w:t> </w:t>
            </w:r>
            <w:r w:rsidRPr="003336BD">
              <w:rPr>
                <w:bCs/>
                <w:sz w:val="22"/>
                <w:szCs w:val="22"/>
              </w:rPr>
              <w:fldChar w:fldCharType="end"/>
            </w:r>
          </w:p>
          <w:p w14:paraId="1F2B7EEF" w14:textId="77777777" w:rsidR="009C15E4" w:rsidRPr="003336BD" w:rsidRDefault="009C15E4" w:rsidP="001F49A5">
            <w:pPr>
              <w:rPr>
                <w:bCs/>
                <w:sz w:val="22"/>
                <w:szCs w:val="22"/>
              </w:rPr>
            </w:pPr>
          </w:p>
        </w:tc>
      </w:tr>
    </w:tbl>
    <w:p w14:paraId="46E978BB" w14:textId="77777777" w:rsidR="009C15E4" w:rsidRPr="005E2D20" w:rsidRDefault="009C15E4" w:rsidP="009C15E4"/>
    <w:p w14:paraId="48204C6D" w14:textId="77777777" w:rsidR="00B10FBB" w:rsidRPr="007B00CA" w:rsidRDefault="00B10FBB" w:rsidP="00B10FBB">
      <w:pPr>
        <w:autoSpaceDE w:val="0"/>
        <w:autoSpaceDN w:val="0"/>
        <w:adjustRightInd w:val="0"/>
        <w:ind w:right="360"/>
        <w:jc w:val="both"/>
      </w:pPr>
    </w:p>
    <w:p w14:paraId="164989ED" w14:textId="77777777" w:rsidR="00B10FBB" w:rsidRPr="005E2D20" w:rsidRDefault="00B10FBB" w:rsidP="000523A1"/>
    <w:sectPr w:rsidR="00B10FBB" w:rsidRPr="005E2D20" w:rsidSect="000523A1">
      <w:head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A1C52" w14:textId="77777777" w:rsidR="00926D10" w:rsidRDefault="00926D10">
      <w:r>
        <w:separator/>
      </w:r>
    </w:p>
  </w:endnote>
  <w:endnote w:type="continuationSeparator" w:id="0">
    <w:p w14:paraId="731163DD" w14:textId="77777777" w:rsidR="00926D10" w:rsidRDefault="00926D10">
      <w:r>
        <w:continuationSeparator/>
      </w:r>
    </w:p>
  </w:endnote>
  <w:endnote w:type="continuationNotice" w:id="1">
    <w:p w14:paraId="5E93B3D9" w14:textId="77777777" w:rsidR="00926D10" w:rsidRDefault="00926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075832"/>
      <w:docPartObj>
        <w:docPartGallery w:val="Page Numbers (Bottom of Page)"/>
        <w:docPartUnique/>
      </w:docPartObj>
    </w:sdtPr>
    <w:sdtEndPr/>
    <w:sdtContent>
      <w:sdt>
        <w:sdtPr>
          <w:id w:val="-1769616900"/>
          <w:docPartObj>
            <w:docPartGallery w:val="Page Numbers (Top of Page)"/>
            <w:docPartUnique/>
          </w:docPartObj>
        </w:sdtPr>
        <w:sdtEndPr/>
        <w:sdtContent>
          <w:p w14:paraId="101ECFE2" w14:textId="3AE86F66" w:rsidR="00D34C62" w:rsidRDefault="00D34C62">
            <w:pPr>
              <w:pStyle w:val="Footer"/>
              <w:jc w:val="right"/>
            </w:pPr>
            <w:r>
              <w:t xml:space="preserve">Page </w:t>
            </w:r>
            <w:r w:rsidR="00AC424B">
              <w:rPr>
                <w:b/>
                <w:bCs/>
              </w:rPr>
              <w:fldChar w:fldCharType="begin"/>
            </w:r>
            <w:r>
              <w:rPr>
                <w:b/>
                <w:bCs/>
              </w:rPr>
              <w:instrText xml:space="preserve"> PAGE </w:instrText>
            </w:r>
            <w:r w:rsidR="00AC424B">
              <w:rPr>
                <w:b/>
                <w:bCs/>
              </w:rPr>
              <w:fldChar w:fldCharType="separate"/>
            </w:r>
            <w:r w:rsidR="00A01514">
              <w:rPr>
                <w:b/>
                <w:bCs/>
                <w:noProof/>
              </w:rPr>
              <w:t>12</w:t>
            </w:r>
            <w:r w:rsidR="00AC424B">
              <w:rPr>
                <w:b/>
                <w:bCs/>
              </w:rPr>
              <w:fldChar w:fldCharType="end"/>
            </w:r>
            <w:r>
              <w:t xml:space="preserve"> of </w:t>
            </w:r>
            <w:r w:rsidR="00AC424B">
              <w:rPr>
                <w:b/>
                <w:bCs/>
              </w:rPr>
              <w:fldChar w:fldCharType="begin"/>
            </w:r>
            <w:r>
              <w:rPr>
                <w:b/>
                <w:bCs/>
              </w:rPr>
              <w:instrText xml:space="preserve"> SECTIONPAGES  \* Arabic </w:instrText>
            </w:r>
            <w:r w:rsidR="00AC424B">
              <w:rPr>
                <w:b/>
                <w:bCs/>
              </w:rPr>
              <w:fldChar w:fldCharType="separate"/>
            </w:r>
            <w:r w:rsidR="0099383D">
              <w:rPr>
                <w:b/>
                <w:bCs/>
                <w:noProof/>
              </w:rPr>
              <w:t>15</w:t>
            </w:r>
            <w:r w:rsidR="00AC424B">
              <w:rPr>
                <w:b/>
                <w:bCs/>
              </w:rPr>
              <w:fldChar w:fldCharType="end"/>
            </w:r>
          </w:p>
        </w:sdtContent>
      </w:sdt>
    </w:sdtContent>
  </w:sdt>
  <w:p w14:paraId="0919DA9C" w14:textId="77777777" w:rsidR="00F356F7" w:rsidRDefault="00F35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C4EF" w14:textId="77777777" w:rsidR="00D34C62" w:rsidRDefault="00D34C62">
    <w:pPr>
      <w:pStyle w:val="Footer"/>
      <w:jc w:val="right"/>
    </w:pPr>
  </w:p>
  <w:p w14:paraId="64E1CE1A" w14:textId="77777777" w:rsidR="00D34C62" w:rsidRDefault="00D34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419241"/>
      <w:docPartObj>
        <w:docPartGallery w:val="Page Numbers (Bottom of Page)"/>
        <w:docPartUnique/>
      </w:docPartObj>
    </w:sdtPr>
    <w:sdtEndPr/>
    <w:sdtContent>
      <w:sdt>
        <w:sdtPr>
          <w:id w:val="-947619574"/>
          <w:docPartObj>
            <w:docPartGallery w:val="Page Numbers (Top of Page)"/>
            <w:docPartUnique/>
          </w:docPartObj>
        </w:sdtPr>
        <w:sdtEndPr/>
        <w:sdtContent>
          <w:p w14:paraId="0C9C7884" w14:textId="3E577C27" w:rsidR="00D34C62" w:rsidRDefault="00D34C62">
            <w:pPr>
              <w:pStyle w:val="Footer"/>
              <w:jc w:val="right"/>
            </w:pPr>
            <w:r>
              <w:t xml:space="preserve">Page </w:t>
            </w:r>
            <w:r w:rsidR="00AC424B">
              <w:rPr>
                <w:b/>
                <w:bCs/>
              </w:rPr>
              <w:fldChar w:fldCharType="begin"/>
            </w:r>
            <w:r>
              <w:rPr>
                <w:b/>
                <w:bCs/>
              </w:rPr>
              <w:instrText xml:space="preserve"> PAGE </w:instrText>
            </w:r>
            <w:r w:rsidR="00AC424B">
              <w:rPr>
                <w:b/>
                <w:bCs/>
              </w:rPr>
              <w:fldChar w:fldCharType="separate"/>
            </w:r>
            <w:r w:rsidR="00A01514">
              <w:rPr>
                <w:b/>
                <w:bCs/>
                <w:noProof/>
              </w:rPr>
              <w:t>1</w:t>
            </w:r>
            <w:r w:rsidR="00AC424B">
              <w:rPr>
                <w:b/>
                <w:bCs/>
              </w:rPr>
              <w:fldChar w:fldCharType="end"/>
            </w:r>
            <w:r>
              <w:t xml:space="preserve"> of </w:t>
            </w:r>
            <w:r w:rsidR="00AC424B">
              <w:rPr>
                <w:b/>
                <w:bCs/>
              </w:rPr>
              <w:fldChar w:fldCharType="begin"/>
            </w:r>
            <w:r>
              <w:rPr>
                <w:b/>
                <w:bCs/>
              </w:rPr>
              <w:instrText xml:space="preserve"> SECTIONPAGES  \* Arabic </w:instrText>
            </w:r>
            <w:r w:rsidR="00AC424B">
              <w:rPr>
                <w:b/>
                <w:bCs/>
              </w:rPr>
              <w:fldChar w:fldCharType="separate"/>
            </w:r>
            <w:r w:rsidR="0099383D">
              <w:rPr>
                <w:b/>
                <w:bCs/>
                <w:noProof/>
              </w:rPr>
              <w:t>15</w:t>
            </w:r>
            <w:r w:rsidR="00AC424B">
              <w:rPr>
                <w:b/>
                <w:bCs/>
              </w:rPr>
              <w:fldChar w:fldCharType="end"/>
            </w:r>
          </w:p>
        </w:sdtContent>
      </w:sdt>
    </w:sdtContent>
  </w:sdt>
  <w:p w14:paraId="69C8281B" w14:textId="77777777" w:rsidR="00D34C62" w:rsidRDefault="00D34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0337" w14:textId="77777777" w:rsidR="00926D10" w:rsidRDefault="00926D10">
      <w:r>
        <w:separator/>
      </w:r>
    </w:p>
  </w:footnote>
  <w:footnote w:type="continuationSeparator" w:id="0">
    <w:p w14:paraId="327B6DDB" w14:textId="77777777" w:rsidR="00926D10" w:rsidRDefault="00926D10">
      <w:r>
        <w:continuationSeparator/>
      </w:r>
    </w:p>
  </w:footnote>
  <w:footnote w:type="continuationNotice" w:id="1">
    <w:p w14:paraId="572C1217" w14:textId="77777777" w:rsidR="00926D10" w:rsidRDefault="00926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1D42" w14:textId="06623209" w:rsidR="005E2D20" w:rsidRPr="000523A1" w:rsidRDefault="0013189E">
    <w:pPr>
      <w:pStyle w:val="Header"/>
      <w:rPr>
        <w:rFonts w:ascii="Times New Roman" w:hAnsi="Times New Roman"/>
      </w:rPr>
    </w:pPr>
    <w:r>
      <w:tab/>
    </w:r>
    <w:r>
      <w:tab/>
      <w:t>Attachment A</w:t>
    </w:r>
    <w:r w:rsidR="005E2D20">
      <w:tab/>
    </w:r>
    <w:r w:rsidR="005E2D2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CF3B" w14:textId="1B77A810" w:rsidR="0013189E" w:rsidRPr="000523A1" w:rsidRDefault="0013189E" w:rsidP="000523A1">
    <w:pPr>
      <w:pStyle w:val="Header"/>
      <w:jc w:val="right"/>
      <w:rPr>
        <w:rFonts w:ascii="Times New Roman" w:hAnsi="Times New Roman"/>
        <w:b/>
        <w:bC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BF34" w14:textId="37FF3024" w:rsidR="0013189E" w:rsidRPr="000523A1" w:rsidRDefault="0013189E">
    <w:pPr>
      <w:pStyle w:val="Header"/>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48AF" w14:textId="5F7D7A97" w:rsidR="0013189E" w:rsidRPr="000523A1" w:rsidRDefault="00424912" w:rsidP="000523A1">
    <w:pPr>
      <w:pStyle w:val="Header"/>
      <w:jc w:val="right"/>
      <w:rPr>
        <w:rFonts w:ascii="Times New Roman" w:hAnsi="Times New Roman"/>
        <w:b/>
        <w:bCs/>
      </w:rPr>
    </w:pPr>
    <w:r>
      <w:rPr>
        <w:rFonts w:ascii="Times New Roman" w:hAnsi="Times New Roman"/>
        <w:b/>
        <w:bCs/>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515"/>
    <w:multiLevelType w:val="hybridMultilevel"/>
    <w:tmpl w:val="51A244EA"/>
    <w:lvl w:ilvl="0" w:tplc="9898A74E">
      <w:start w:val="6"/>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62E86"/>
    <w:multiLevelType w:val="multilevel"/>
    <w:tmpl w:val="740A36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5"/>
      <w:numFmt w:val="upperLetter"/>
      <w:lvlText w:val="%4."/>
      <w:lvlJc w:val="left"/>
      <w:pPr>
        <w:ind w:left="1530" w:hanging="360"/>
      </w:pPr>
      <w:rPr>
        <w:rFonts w:hint="default"/>
      </w:rPr>
    </w:lvl>
    <w:lvl w:ilvl="4">
      <w:start w:val="6"/>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7F6635"/>
    <w:multiLevelType w:val="hybridMultilevel"/>
    <w:tmpl w:val="8F6801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A052CD"/>
    <w:multiLevelType w:val="hybridMultilevel"/>
    <w:tmpl w:val="92067D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63945"/>
    <w:multiLevelType w:val="hybridMultilevel"/>
    <w:tmpl w:val="9372F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4C0549"/>
    <w:multiLevelType w:val="hybridMultilevel"/>
    <w:tmpl w:val="3E26AF1A"/>
    <w:lvl w:ilvl="0" w:tplc="6EC605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F55E4B"/>
    <w:multiLevelType w:val="hybridMultilevel"/>
    <w:tmpl w:val="573C1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CE5E57"/>
    <w:multiLevelType w:val="hybridMultilevel"/>
    <w:tmpl w:val="B6FEB48E"/>
    <w:lvl w:ilvl="0" w:tplc="50564E7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FB30FB"/>
    <w:multiLevelType w:val="hybridMultilevel"/>
    <w:tmpl w:val="B706F1AE"/>
    <w:lvl w:ilvl="0" w:tplc="D536F520">
      <w:start w:val="1"/>
      <w:numFmt w:val="bullet"/>
      <w:lvlText w:val=""/>
      <w:lvlJc w:val="left"/>
      <w:pPr>
        <w:tabs>
          <w:tab w:val="num" w:pos="3600"/>
        </w:tabs>
        <w:ind w:left="3600" w:hanging="360"/>
      </w:pPr>
      <w:rPr>
        <w:rFonts w:ascii="Symbol" w:hAnsi="Symbol" w:hint="default"/>
        <w:color w:val="auto"/>
      </w:rPr>
    </w:lvl>
    <w:lvl w:ilvl="1" w:tplc="695088E6">
      <w:start w:val="1"/>
      <w:numFmt w:val="bullet"/>
      <w:lvlText w:val="o"/>
      <w:lvlJc w:val="left"/>
      <w:pPr>
        <w:tabs>
          <w:tab w:val="num" w:pos="1440"/>
        </w:tabs>
        <w:ind w:left="1440" w:hanging="360"/>
      </w:pPr>
      <w:rPr>
        <w:rFonts w:ascii="Courier New" w:hAnsi="Courier New" w:hint="default"/>
      </w:rPr>
    </w:lvl>
    <w:lvl w:ilvl="2" w:tplc="69DC764C" w:tentative="1">
      <w:start w:val="1"/>
      <w:numFmt w:val="bullet"/>
      <w:lvlText w:val=""/>
      <w:lvlJc w:val="left"/>
      <w:pPr>
        <w:tabs>
          <w:tab w:val="num" w:pos="2160"/>
        </w:tabs>
        <w:ind w:left="2160" w:hanging="360"/>
      </w:pPr>
      <w:rPr>
        <w:rFonts w:ascii="Wingdings" w:hAnsi="Wingdings" w:hint="default"/>
      </w:rPr>
    </w:lvl>
    <w:lvl w:ilvl="3" w:tplc="D138D2A8" w:tentative="1">
      <w:start w:val="1"/>
      <w:numFmt w:val="bullet"/>
      <w:lvlText w:val=""/>
      <w:lvlJc w:val="left"/>
      <w:pPr>
        <w:tabs>
          <w:tab w:val="num" w:pos="2880"/>
        </w:tabs>
        <w:ind w:left="2880" w:hanging="360"/>
      </w:pPr>
      <w:rPr>
        <w:rFonts w:ascii="Symbol" w:hAnsi="Symbol" w:hint="default"/>
      </w:rPr>
    </w:lvl>
    <w:lvl w:ilvl="4" w:tplc="FF063B14" w:tentative="1">
      <w:start w:val="1"/>
      <w:numFmt w:val="bullet"/>
      <w:lvlText w:val="o"/>
      <w:lvlJc w:val="left"/>
      <w:pPr>
        <w:tabs>
          <w:tab w:val="num" w:pos="3600"/>
        </w:tabs>
        <w:ind w:left="3600" w:hanging="360"/>
      </w:pPr>
      <w:rPr>
        <w:rFonts w:ascii="Courier New" w:hAnsi="Courier New" w:hint="default"/>
      </w:rPr>
    </w:lvl>
    <w:lvl w:ilvl="5" w:tplc="D018BF4C" w:tentative="1">
      <w:start w:val="1"/>
      <w:numFmt w:val="bullet"/>
      <w:lvlText w:val=""/>
      <w:lvlJc w:val="left"/>
      <w:pPr>
        <w:tabs>
          <w:tab w:val="num" w:pos="4320"/>
        </w:tabs>
        <w:ind w:left="4320" w:hanging="360"/>
      </w:pPr>
      <w:rPr>
        <w:rFonts w:ascii="Wingdings" w:hAnsi="Wingdings" w:hint="default"/>
      </w:rPr>
    </w:lvl>
    <w:lvl w:ilvl="6" w:tplc="60308F2E" w:tentative="1">
      <w:start w:val="1"/>
      <w:numFmt w:val="bullet"/>
      <w:lvlText w:val=""/>
      <w:lvlJc w:val="left"/>
      <w:pPr>
        <w:tabs>
          <w:tab w:val="num" w:pos="5040"/>
        </w:tabs>
        <w:ind w:left="5040" w:hanging="360"/>
      </w:pPr>
      <w:rPr>
        <w:rFonts w:ascii="Symbol" w:hAnsi="Symbol" w:hint="default"/>
      </w:rPr>
    </w:lvl>
    <w:lvl w:ilvl="7" w:tplc="53127394" w:tentative="1">
      <w:start w:val="1"/>
      <w:numFmt w:val="bullet"/>
      <w:lvlText w:val="o"/>
      <w:lvlJc w:val="left"/>
      <w:pPr>
        <w:tabs>
          <w:tab w:val="num" w:pos="5760"/>
        </w:tabs>
        <w:ind w:left="5760" w:hanging="360"/>
      </w:pPr>
      <w:rPr>
        <w:rFonts w:ascii="Courier New" w:hAnsi="Courier New" w:hint="default"/>
      </w:rPr>
    </w:lvl>
    <w:lvl w:ilvl="8" w:tplc="845410A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A73995"/>
    <w:multiLevelType w:val="hybridMultilevel"/>
    <w:tmpl w:val="D444D3CA"/>
    <w:lvl w:ilvl="0" w:tplc="8DA0A4E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AE541D"/>
    <w:multiLevelType w:val="hybridMultilevel"/>
    <w:tmpl w:val="27765B2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D24F3"/>
    <w:multiLevelType w:val="hybridMultilevel"/>
    <w:tmpl w:val="74B0E2C6"/>
    <w:lvl w:ilvl="0" w:tplc="2B2A6ED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421BB"/>
    <w:multiLevelType w:val="hybridMultilevel"/>
    <w:tmpl w:val="618825C4"/>
    <w:lvl w:ilvl="0" w:tplc="FFFFFFF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227BF"/>
    <w:multiLevelType w:val="hybridMultilevel"/>
    <w:tmpl w:val="F5DA6FEE"/>
    <w:lvl w:ilvl="0" w:tplc="FFFFFFF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DB16F3C"/>
    <w:multiLevelType w:val="hybridMultilevel"/>
    <w:tmpl w:val="DEEA66D0"/>
    <w:lvl w:ilvl="0" w:tplc="23EEBB2E">
      <w:start w:val="1"/>
      <w:numFmt w:val="upperRoman"/>
      <w:lvlText w:val="%1."/>
      <w:lvlJc w:val="left"/>
      <w:pPr>
        <w:tabs>
          <w:tab w:val="num" w:pos="1080"/>
        </w:tabs>
        <w:ind w:left="1080" w:hanging="720"/>
      </w:pPr>
      <w:rPr>
        <w:rFonts w:hint="default"/>
      </w:rPr>
    </w:lvl>
    <w:lvl w:ilvl="1" w:tplc="5FA01C4E" w:tentative="1">
      <w:start w:val="1"/>
      <w:numFmt w:val="lowerLetter"/>
      <w:lvlText w:val="%2."/>
      <w:lvlJc w:val="left"/>
      <w:pPr>
        <w:tabs>
          <w:tab w:val="num" w:pos="1440"/>
        </w:tabs>
        <w:ind w:left="1440" w:hanging="360"/>
      </w:pPr>
    </w:lvl>
    <w:lvl w:ilvl="2" w:tplc="6256D436" w:tentative="1">
      <w:start w:val="1"/>
      <w:numFmt w:val="lowerRoman"/>
      <w:lvlText w:val="%3."/>
      <w:lvlJc w:val="right"/>
      <w:pPr>
        <w:tabs>
          <w:tab w:val="num" w:pos="2160"/>
        </w:tabs>
        <w:ind w:left="2160" w:hanging="180"/>
      </w:pPr>
    </w:lvl>
    <w:lvl w:ilvl="3" w:tplc="9E00CCC6" w:tentative="1">
      <w:start w:val="1"/>
      <w:numFmt w:val="decimal"/>
      <w:lvlText w:val="%4."/>
      <w:lvlJc w:val="left"/>
      <w:pPr>
        <w:tabs>
          <w:tab w:val="num" w:pos="2880"/>
        </w:tabs>
        <w:ind w:left="2880" w:hanging="360"/>
      </w:pPr>
    </w:lvl>
    <w:lvl w:ilvl="4" w:tplc="72FEEC46" w:tentative="1">
      <w:start w:val="1"/>
      <w:numFmt w:val="lowerLetter"/>
      <w:lvlText w:val="%5."/>
      <w:lvlJc w:val="left"/>
      <w:pPr>
        <w:tabs>
          <w:tab w:val="num" w:pos="3600"/>
        </w:tabs>
        <w:ind w:left="3600" w:hanging="360"/>
      </w:pPr>
    </w:lvl>
    <w:lvl w:ilvl="5" w:tplc="F6E2010A" w:tentative="1">
      <w:start w:val="1"/>
      <w:numFmt w:val="lowerRoman"/>
      <w:lvlText w:val="%6."/>
      <w:lvlJc w:val="right"/>
      <w:pPr>
        <w:tabs>
          <w:tab w:val="num" w:pos="4320"/>
        </w:tabs>
        <w:ind w:left="4320" w:hanging="180"/>
      </w:pPr>
    </w:lvl>
    <w:lvl w:ilvl="6" w:tplc="4516E818" w:tentative="1">
      <w:start w:val="1"/>
      <w:numFmt w:val="decimal"/>
      <w:lvlText w:val="%7."/>
      <w:lvlJc w:val="left"/>
      <w:pPr>
        <w:tabs>
          <w:tab w:val="num" w:pos="5040"/>
        </w:tabs>
        <w:ind w:left="5040" w:hanging="360"/>
      </w:pPr>
    </w:lvl>
    <w:lvl w:ilvl="7" w:tplc="6FE06362" w:tentative="1">
      <w:start w:val="1"/>
      <w:numFmt w:val="lowerLetter"/>
      <w:lvlText w:val="%8."/>
      <w:lvlJc w:val="left"/>
      <w:pPr>
        <w:tabs>
          <w:tab w:val="num" w:pos="5760"/>
        </w:tabs>
        <w:ind w:left="5760" w:hanging="360"/>
      </w:pPr>
    </w:lvl>
    <w:lvl w:ilvl="8" w:tplc="22E86B08" w:tentative="1">
      <w:start w:val="1"/>
      <w:numFmt w:val="lowerRoman"/>
      <w:lvlText w:val="%9."/>
      <w:lvlJc w:val="right"/>
      <w:pPr>
        <w:tabs>
          <w:tab w:val="num" w:pos="6480"/>
        </w:tabs>
        <w:ind w:left="6480" w:hanging="180"/>
      </w:pPr>
    </w:lvl>
  </w:abstractNum>
  <w:abstractNum w:abstractNumId="15" w15:restartNumberingAfterBreak="0">
    <w:nsid w:val="0E173A92"/>
    <w:multiLevelType w:val="multilevel"/>
    <w:tmpl w:val="318089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7"/>
      <w:numFmt w:val="decimal"/>
      <w:lvlText w:val="%4."/>
      <w:lvlJc w:val="left"/>
      <w:pPr>
        <w:ind w:left="1530" w:hanging="360"/>
      </w:pPr>
      <w:rPr>
        <w:rFonts w:hint="default"/>
      </w:rPr>
    </w:lvl>
    <w:lvl w:ilvl="4">
      <w:start w:val="6"/>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BA0C2E"/>
    <w:multiLevelType w:val="hybridMultilevel"/>
    <w:tmpl w:val="0AC0B346"/>
    <w:lvl w:ilvl="0" w:tplc="E258F9A2">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12E4BBD"/>
    <w:multiLevelType w:val="hybridMultilevel"/>
    <w:tmpl w:val="2DDE06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21C6634"/>
    <w:multiLevelType w:val="hybridMultilevel"/>
    <w:tmpl w:val="618825C4"/>
    <w:lvl w:ilvl="0" w:tplc="FFFFFFF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891713"/>
    <w:multiLevelType w:val="hybridMultilevel"/>
    <w:tmpl w:val="67D252A2"/>
    <w:lvl w:ilvl="0" w:tplc="CC9AB8C6">
      <w:start w:val="4"/>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28415D"/>
    <w:multiLevelType w:val="hybridMultilevel"/>
    <w:tmpl w:val="FF8EAC96"/>
    <w:lvl w:ilvl="0" w:tplc="FFFFFFFF">
      <w:start w:val="1"/>
      <w:numFmt w:val="lowerLetter"/>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1" w15:restartNumberingAfterBreak="0">
    <w:nsid w:val="180372BA"/>
    <w:multiLevelType w:val="hybridMultilevel"/>
    <w:tmpl w:val="F6B6435A"/>
    <w:lvl w:ilvl="0" w:tplc="5A68E3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9A88CD34">
      <w:start w:val="1"/>
      <w:numFmt w:val="lowerRoman"/>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9D11BD0"/>
    <w:multiLevelType w:val="hybridMultilevel"/>
    <w:tmpl w:val="574EA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23296B"/>
    <w:multiLevelType w:val="hybridMultilevel"/>
    <w:tmpl w:val="3604C7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7C1126"/>
    <w:multiLevelType w:val="hybridMultilevel"/>
    <w:tmpl w:val="2D068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1403BF5"/>
    <w:multiLevelType w:val="hybridMultilevel"/>
    <w:tmpl w:val="D396B2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1560700"/>
    <w:multiLevelType w:val="hybridMultilevel"/>
    <w:tmpl w:val="5430381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23AC4291"/>
    <w:multiLevelType w:val="hybridMultilevel"/>
    <w:tmpl w:val="56FA1FDA"/>
    <w:lvl w:ilvl="0" w:tplc="6D086A36">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F0766B"/>
    <w:multiLevelType w:val="hybridMultilevel"/>
    <w:tmpl w:val="7A64B13E"/>
    <w:lvl w:ilvl="0" w:tplc="2278D238">
      <w:start w:val="1"/>
      <w:numFmt w:val="bullet"/>
      <w:lvlText w:val=""/>
      <w:lvlJc w:val="left"/>
      <w:pPr>
        <w:tabs>
          <w:tab w:val="num" w:pos="3600"/>
        </w:tabs>
        <w:ind w:left="3600" w:hanging="360"/>
      </w:pPr>
      <w:rPr>
        <w:rFonts w:ascii="Symbol" w:hAnsi="Symbol" w:hint="default"/>
        <w:color w:val="auto"/>
      </w:rPr>
    </w:lvl>
    <w:lvl w:ilvl="1" w:tplc="536830CA" w:tentative="1">
      <w:start w:val="1"/>
      <w:numFmt w:val="bullet"/>
      <w:lvlText w:val="o"/>
      <w:lvlJc w:val="left"/>
      <w:pPr>
        <w:tabs>
          <w:tab w:val="num" w:pos="1440"/>
        </w:tabs>
        <w:ind w:left="1440" w:hanging="360"/>
      </w:pPr>
      <w:rPr>
        <w:rFonts w:ascii="Courier New" w:hAnsi="Courier New" w:hint="default"/>
      </w:rPr>
    </w:lvl>
    <w:lvl w:ilvl="2" w:tplc="279CE616" w:tentative="1">
      <w:start w:val="1"/>
      <w:numFmt w:val="bullet"/>
      <w:lvlText w:val=""/>
      <w:lvlJc w:val="left"/>
      <w:pPr>
        <w:tabs>
          <w:tab w:val="num" w:pos="2160"/>
        </w:tabs>
        <w:ind w:left="2160" w:hanging="360"/>
      </w:pPr>
      <w:rPr>
        <w:rFonts w:ascii="Wingdings" w:hAnsi="Wingdings" w:hint="default"/>
      </w:rPr>
    </w:lvl>
    <w:lvl w:ilvl="3" w:tplc="6928A136" w:tentative="1">
      <w:start w:val="1"/>
      <w:numFmt w:val="bullet"/>
      <w:lvlText w:val=""/>
      <w:lvlJc w:val="left"/>
      <w:pPr>
        <w:tabs>
          <w:tab w:val="num" w:pos="2880"/>
        </w:tabs>
        <w:ind w:left="2880" w:hanging="360"/>
      </w:pPr>
      <w:rPr>
        <w:rFonts w:ascii="Symbol" w:hAnsi="Symbol" w:hint="default"/>
      </w:rPr>
    </w:lvl>
    <w:lvl w:ilvl="4" w:tplc="19D0B14E" w:tentative="1">
      <w:start w:val="1"/>
      <w:numFmt w:val="bullet"/>
      <w:lvlText w:val="o"/>
      <w:lvlJc w:val="left"/>
      <w:pPr>
        <w:tabs>
          <w:tab w:val="num" w:pos="3600"/>
        </w:tabs>
        <w:ind w:left="3600" w:hanging="360"/>
      </w:pPr>
      <w:rPr>
        <w:rFonts w:ascii="Courier New" w:hAnsi="Courier New" w:hint="default"/>
      </w:rPr>
    </w:lvl>
    <w:lvl w:ilvl="5" w:tplc="A210C6B8" w:tentative="1">
      <w:start w:val="1"/>
      <w:numFmt w:val="bullet"/>
      <w:lvlText w:val=""/>
      <w:lvlJc w:val="left"/>
      <w:pPr>
        <w:tabs>
          <w:tab w:val="num" w:pos="4320"/>
        </w:tabs>
        <w:ind w:left="4320" w:hanging="360"/>
      </w:pPr>
      <w:rPr>
        <w:rFonts w:ascii="Wingdings" w:hAnsi="Wingdings" w:hint="default"/>
      </w:rPr>
    </w:lvl>
    <w:lvl w:ilvl="6" w:tplc="2FE02146" w:tentative="1">
      <w:start w:val="1"/>
      <w:numFmt w:val="bullet"/>
      <w:lvlText w:val=""/>
      <w:lvlJc w:val="left"/>
      <w:pPr>
        <w:tabs>
          <w:tab w:val="num" w:pos="5040"/>
        </w:tabs>
        <w:ind w:left="5040" w:hanging="360"/>
      </w:pPr>
      <w:rPr>
        <w:rFonts w:ascii="Symbol" w:hAnsi="Symbol" w:hint="default"/>
      </w:rPr>
    </w:lvl>
    <w:lvl w:ilvl="7" w:tplc="FA74EEFA" w:tentative="1">
      <w:start w:val="1"/>
      <w:numFmt w:val="bullet"/>
      <w:lvlText w:val="o"/>
      <w:lvlJc w:val="left"/>
      <w:pPr>
        <w:tabs>
          <w:tab w:val="num" w:pos="5760"/>
        </w:tabs>
        <w:ind w:left="5760" w:hanging="360"/>
      </w:pPr>
      <w:rPr>
        <w:rFonts w:ascii="Courier New" w:hAnsi="Courier New" w:hint="default"/>
      </w:rPr>
    </w:lvl>
    <w:lvl w:ilvl="8" w:tplc="A04A9D8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320060"/>
    <w:multiLevelType w:val="hybridMultilevel"/>
    <w:tmpl w:val="459826BA"/>
    <w:lvl w:ilvl="0" w:tplc="0409000F">
      <w:start w:val="1"/>
      <w:numFmt w:val="decimal"/>
      <w:lvlText w:val="%1."/>
      <w:lvlJc w:val="left"/>
      <w:pPr>
        <w:ind w:left="4176" w:hanging="360"/>
      </w:pPr>
    </w:lvl>
    <w:lvl w:ilvl="1" w:tplc="04090019" w:tentative="1">
      <w:start w:val="1"/>
      <w:numFmt w:val="lowerLetter"/>
      <w:lvlText w:val="%2."/>
      <w:lvlJc w:val="left"/>
      <w:pPr>
        <w:ind w:left="4896" w:hanging="360"/>
      </w:pPr>
    </w:lvl>
    <w:lvl w:ilvl="2" w:tplc="0409001B" w:tentative="1">
      <w:start w:val="1"/>
      <w:numFmt w:val="lowerRoman"/>
      <w:lvlText w:val="%3."/>
      <w:lvlJc w:val="right"/>
      <w:pPr>
        <w:ind w:left="5616" w:hanging="180"/>
      </w:pPr>
    </w:lvl>
    <w:lvl w:ilvl="3" w:tplc="0409000F" w:tentative="1">
      <w:start w:val="1"/>
      <w:numFmt w:val="decimal"/>
      <w:lvlText w:val="%4."/>
      <w:lvlJc w:val="left"/>
      <w:pPr>
        <w:ind w:left="6336" w:hanging="360"/>
      </w:pPr>
    </w:lvl>
    <w:lvl w:ilvl="4" w:tplc="04090019" w:tentative="1">
      <w:start w:val="1"/>
      <w:numFmt w:val="lowerLetter"/>
      <w:lvlText w:val="%5."/>
      <w:lvlJc w:val="left"/>
      <w:pPr>
        <w:ind w:left="7056" w:hanging="360"/>
      </w:pPr>
    </w:lvl>
    <w:lvl w:ilvl="5" w:tplc="0409001B" w:tentative="1">
      <w:start w:val="1"/>
      <w:numFmt w:val="lowerRoman"/>
      <w:lvlText w:val="%6."/>
      <w:lvlJc w:val="right"/>
      <w:pPr>
        <w:ind w:left="7776" w:hanging="180"/>
      </w:pPr>
    </w:lvl>
    <w:lvl w:ilvl="6" w:tplc="0409000F" w:tentative="1">
      <w:start w:val="1"/>
      <w:numFmt w:val="decimal"/>
      <w:lvlText w:val="%7."/>
      <w:lvlJc w:val="left"/>
      <w:pPr>
        <w:ind w:left="8496" w:hanging="360"/>
      </w:pPr>
    </w:lvl>
    <w:lvl w:ilvl="7" w:tplc="04090019" w:tentative="1">
      <w:start w:val="1"/>
      <w:numFmt w:val="lowerLetter"/>
      <w:lvlText w:val="%8."/>
      <w:lvlJc w:val="left"/>
      <w:pPr>
        <w:ind w:left="9216" w:hanging="360"/>
      </w:pPr>
    </w:lvl>
    <w:lvl w:ilvl="8" w:tplc="0409001B" w:tentative="1">
      <w:start w:val="1"/>
      <w:numFmt w:val="lowerRoman"/>
      <w:lvlText w:val="%9."/>
      <w:lvlJc w:val="right"/>
      <w:pPr>
        <w:ind w:left="9936" w:hanging="180"/>
      </w:pPr>
    </w:lvl>
  </w:abstractNum>
  <w:abstractNum w:abstractNumId="30" w15:restartNumberingAfterBreak="0">
    <w:nsid w:val="274E20E2"/>
    <w:multiLevelType w:val="hybridMultilevel"/>
    <w:tmpl w:val="75E8AA7C"/>
    <w:lvl w:ilvl="0" w:tplc="E258F9A2">
      <w:start w:val="1"/>
      <w:numFmt w:val="decimal"/>
      <w:lvlText w:val="%1."/>
      <w:lvlJc w:val="right"/>
      <w:pPr>
        <w:tabs>
          <w:tab w:val="num" w:pos="6570"/>
        </w:tabs>
        <w:ind w:left="6570" w:hanging="360"/>
      </w:pPr>
      <w:rPr>
        <w:rFonts w:hint="default"/>
      </w:rPr>
    </w:lvl>
    <w:lvl w:ilvl="1" w:tplc="FFFFFFFF">
      <w:start w:val="1"/>
      <w:numFmt w:val="decimal"/>
      <w:lvlText w:val="%2."/>
      <w:lvlJc w:val="left"/>
      <w:pPr>
        <w:tabs>
          <w:tab w:val="num" w:pos="1800"/>
        </w:tabs>
        <w:ind w:left="1800" w:hanging="360"/>
      </w:pPr>
      <w:rPr>
        <w:rFonts w:hint="default"/>
      </w:rPr>
    </w:lvl>
    <w:lvl w:ilvl="2" w:tplc="04090017">
      <w:start w:val="1"/>
      <w:numFmt w:val="lowerLetter"/>
      <w:lvlText w:val="%3)"/>
      <w:lvlJc w:val="lef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29F4277D"/>
    <w:multiLevelType w:val="hybridMultilevel"/>
    <w:tmpl w:val="F4341878"/>
    <w:lvl w:ilvl="0" w:tplc="B6D80B1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D710E47"/>
    <w:multiLevelType w:val="hybridMultilevel"/>
    <w:tmpl w:val="C97AF8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09A25D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2C44D4"/>
    <w:multiLevelType w:val="hybridMultilevel"/>
    <w:tmpl w:val="987A1652"/>
    <w:lvl w:ilvl="0" w:tplc="FFFFFFFF">
      <w:start w:val="1"/>
      <w:numFmt w:val="bullet"/>
      <w:lvlText w:val=""/>
      <w:lvlJc w:val="left"/>
      <w:pPr>
        <w:tabs>
          <w:tab w:val="num" w:pos="3600"/>
        </w:tabs>
        <w:ind w:left="3600" w:hanging="360"/>
      </w:pPr>
      <w:rPr>
        <w:rFonts w:ascii="Symbol" w:hAnsi="Symbol" w:hint="default"/>
        <w:color w:val="auto"/>
      </w:rPr>
    </w:lvl>
    <w:lvl w:ilvl="1" w:tplc="58EE2180">
      <w:start w:val="2"/>
      <w:numFmt w:val="decimal"/>
      <w:lvlText w:val="%2."/>
      <w:lvlJc w:val="left"/>
      <w:pPr>
        <w:tabs>
          <w:tab w:val="num" w:pos="1440"/>
        </w:tabs>
        <w:ind w:left="1440" w:hanging="360"/>
      </w:pPr>
      <w:rPr>
        <w:rFonts w:ascii="Arial (W1)" w:hAnsi="Arial (W1)"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1206AF"/>
    <w:multiLevelType w:val="hybridMultilevel"/>
    <w:tmpl w:val="187ED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9857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8BC4615"/>
    <w:multiLevelType w:val="hybridMultilevel"/>
    <w:tmpl w:val="9A02B226"/>
    <w:lvl w:ilvl="0" w:tplc="04090017">
      <w:start w:val="1"/>
      <w:numFmt w:val="lowerLetter"/>
      <w:lvlText w:val="%1)"/>
      <w:lvlJc w:val="left"/>
      <w:pPr>
        <w:ind w:left="2160" w:hanging="360"/>
      </w:pPr>
    </w:lvl>
    <w:lvl w:ilvl="1" w:tplc="FDB0E3A0">
      <w:start w:val="1"/>
      <w:numFmt w:val="lowerLetter"/>
      <w:lvlText w:val="%2."/>
      <w:lvlJc w:val="left"/>
      <w:pPr>
        <w:ind w:left="2880" w:hanging="360"/>
      </w:pPr>
      <w:rPr>
        <w:b w:val="0"/>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D302AB2C">
      <w:start w:val="1"/>
      <w:numFmt w:val="upperLetter"/>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A0D45DD"/>
    <w:multiLevelType w:val="hybridMultilevel"/>
    <w:tmpl w:val="F8126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BA72AED"/>
    <w:multiLevelType w:val="hybridMultilevel"/>
    <w:tmpl w:val="FDC6307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A5136E"/>
    <w:multiLevelType w:val="singleLevel"/>
    <w:tmpl w:val="A6EE65B6"/>
    <w:lvl w:ilvl="0">
      <w:start w:val="3"/>
      <w:numFmt w:val="decimal"/>
      <w:lvlText w:val="%1."/>
      <w:lvlJc w:val="left"/>
      <w:pPr>
        <w:tabs>
          <w:tab w:val="num" w:pos="360"/>
        </w:tabs>
        <w:ind w:left="360" w:hanging="360"/>
      </w:pPr>
      <w:rPr>
        <w:rFonts w:hint="default"/>
      </w:rPr>
    </w:lvl>
  </w:abstractNum>
  <w:abstractNum w:abstractNumId="40" w15:restartNumberingAfterBreak="0">
    <w:nsid w:val="49A61A43"/>
    <w:multiLevelType w:val="multilevel"/>
    <w:tmpl w:val="7958AA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4"/>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AEC0089"/>
    <w:multiLevelType w:val="hybridMultilevel"/>
    <w:tmpl w:val="5FE08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3A35E29"/>
    <w:multiLevelType w:val="hybridMultilevel"/>
    <w:tmpl w:val="06F2BAA0"/>
    <w:lvl w:ilvl="0" w:tplc="1B60A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1C0034"/>
    <w:multiLevelType w:val="singleLevel"/>
    <w:tmpl w:val="F934C65E"/>
    <w:lvl w:ilvl="0">
      <w:start w:val="4"/>
      <w:numFmt w:val="upperLetter"/>
      <w:lvlText w:val="%1."/>
      <w:lvlJc w:val="left"/>
      <w:pPr>
        <w:tabs>
          <w:tab w:val="num" w:pos="360"/>
        </w:tabs>
        <w:ind w:left="360" w:hanging="360"/>
      </w:pPr>
    </w:lvl>
  </w:abstractNum>
  <w:abstractNum w:abstractNumId="44" w15:restartNumberingAfterBreak="0">
    <w:nsid w:val="5A901900"/>
    <w:multiLevelType w:val="hybridMultilevel"/>
    <w:tmpl w:val="B2A26CFC"/>
    <w:lvl w:ilvl="0" w:tplc="620AB2DC">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E65C7C"/>
    <w:multiLevelType w:val="multilevel"/>
    <w:tmpl w:val="27924E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4"/>
      <w:numFmt w:val="upperLetter"/>
      <w:lvlText w:val="%5."/>
      <w:lvlJc w:val="left"/>
      <w:pPr>
        <w:ind w:left="153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CBC65C3"/>
    <w:multiLevelType w:val="hybridMultilevel"/>
    <w:tmpl w:val="49582F5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DFD0370"/>
    <w:multiLevelType w:val="hybridMultilevel"/>
    <w:tmpl w:val="3DA65B48"/>
    <w:lvl w:ilvl="0" w:tplc="FFFFFFF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FAE55D9"/>
    <w:multiLevelType w:val="hybridMultilevel"/>
    <w:tmpl w:val="7FBE383A"/>
    <w:lvl w:ilvl="0" w:tplc="662AEB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183399"/>
    <w:multiLevelType w:val="hybridMultilevel"/>
    <w:tmpl w:val="7B76040C"/>
    <w:lvl w:ilvl="0" w:tplc="A1BEA168">
      <w:start w:val="3"/>
      <w:numFmt w:val="decimal"/>
      <w:lvlText w:val="%1."/>
      <w:lvlJc w:val="left"/>
      <w:pPr>
        <w:tabs>
          <w:tab w:val="num" w:pos="1440"/>
        </w:tabs>
        <w:ind w:left="1440" w:hanging="360"/>
      </w:pPr>
      <w:rPr>
        <w:rFonts w:ascii="Arial (W1)" w:hAnsi="Arial (W1)"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2A5615"/>
    <w:multiLevelType w:val="hybridMultilevel"/>
    <w:tmpl w:val="2034E400"/>
    <w:lvl w:ilvl="0" w:tplc="6B7AAC76">
      <w:start w:val="1"/>
      <w:numFmt w:val="upperLetter"/>
      <w:pStyle w:val="Heading5"/>
      <w:lvlText w:val="%1."/>
      <w:lvlJc w:val="left"/>
      <w:pPr>
        <w:tabs>
          <w:tab w:val="num" w:pos="6570"/>
        </w:tabs>
        <w:ind w:left="6570" w:hanging="360"/>
      </w:pPr>
      <w:rPr>
        <w:rFonts w:hint="default"/>
      </w:rPr>
    </w:lvl>
    <w:lvl w:ilvl="1" w:tplc="649C4CA8">
      <w:start w:val="1"/>
      <w:numFmt w:val="decimal"/>
      <w:lvlText w:val="%2."/>
      <w:lvlJc w:val="left"/>
      <w:pPr>
        <w:tabs>
          <w:tab w:val="num" w:pos="1800"/>
        </w:tabs>
        <w:ind w:left="1800" w:hanging="360"/>
      </w:pPr>
      <w:rPr>
        <w:rFonts w:hint="default"/>
      </w:rPr>
    </w:lvl>
    <w:lvl w:ilvl="2" w:tplc="04090017">
      <w:start w:val="1"/>
      <w:numFmt w:val="lowerLetter"/>
      <w:lvlText w:val="%3)"/>
      <w:lvlJc w:val="lef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15:restartNumberingAfterBreak="0">
    <w:nsid w:val="65E7179D"/>
    <w:multiLevelType w:val="multilevel"/>
    <w:tmpl w:val="9528AC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9"/>
      <w:numFmt w:val="decimal"/>
      <w:lvlText w:val="%3."/>
      <w:lvlJc w:val="left"/>
      <w:pPr>
        <w:ind w:left="1080" w:hanging="360"/>
      </w:pPr>
      <w:rPr>
        <w:rFonts w:hint="default"/>
      </w:rPr>
    </w:lvl>
    <w:lvl w:ilvl="3">
      <w:start w:val="15"/>
      <w:numFmt w:val="decimal"/>
      <w:lvlText w:val="%4."/>
      <w:lvlJc w:val="left"/>
      <w:pPr>
        <w:ind w:left="1530" w:hanging="360"/>
      </w:pPr>
      <w:rPr>
        <w:rFonts w:hint="default"/>
      </w:rPr>
    </w:lvl>
    <w:lvl w:ilvl="4">
      <w:start w:val="6"/>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88B72D4"/>
    <w:multiLevelType w:val="hybridMultilevel"/>
    <w:tmpl w:val="114C0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9F4308"/>
    <w:multiLevelType w:val="hybridMultilevel"/>
    <w:tmpl w:val="BD084E90"/>
    <w:lvl w:ilvl="0" w:tplc="58EE2180">
      <w:start w:val="2"/>
      <w:numFmt w:val="decimal"/>
      <w:lvlText w:val="%1."/>
      <w:lvlJc w:val="left"/>
      <w:pPr>
        <w:tabs>
          <w:tab w:val="num" w:pos="1080"/>
        </w:tabs>
        <w:ind w:left="1080" w:hanging="360"/>
      </w:pPr>
      <w:rPr>
        <w:rFonts w:ascii="Arial (W1)" w:hAnsi="Arial (W1)" w:hint="default"/>
        <w:b w:val="0"/>
        <w:i w:val="0"/>
      </w:rPr>
    </w:lvl>
    <w:lvl w:ilvl="1" w:tplc="FFFFFFFF">
      <w:start w:val="1"/>
      <w:numFmt w:val="lowerLetter"/>
      <w:lvlText w:val="%2)"/>
      <w:lvlJc w:val="left"/>
      <w:pPr>
        <w:tabs>
          <w:tab w:val="num" w:pos="1800"/>
        </w:tabs>
        <w:ind w:left="1800" w:hanging="360"/>
      </w:pPr>
      <w:rPr>
        <w:rFonts w:hint="default"/>
      </w:rPr>
    </w:lvl>
    <w:lvl w:ilvl="2" w:tplc="FFFFFFFF">
      <w:start w:val="1"/>
      <w:numFmt w:val="low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15:restartNumberingAfterBreak="0">
    <w:nsid w:val="740B1028"/>
    <w:multiLevelType w:val="singleLevel"/>
    <w:tmpl w:val="A6EE65B6"/>
    <w:lvl w:ilvl="0">
      <w:start w:val="3"/>
      <w:numFmt w:val="decimal"/>
      <w:lvlText w:val="%1."/>
      <w:lvlJc w:val="left"/>
      <w:pPr>
        <w:tabs>
          <w:tab w:val="num" w:pos="360"/>
        </w:tabs>
        <w:ind w:left="360" w:hanging="360"/>
      </w:pPr>
      <w:rPr>
        <w:rFonts w:hint="default"/>
      </w:rPr>
    </w:lvl>
  </w:abstractNum>
  <w:abstractNum w:abstractNumId="55" w15:restartNumberingAfterBreak="0">
    <w:nsid w:val="75D71C05"/>
    <w:multiLevelType w:val="hybridMultilevel"/>
    <w:tmpl w:val="867A808C"/>
    <w:lvl w:ilvl="0" w:tplc="01CC5E28">
      <w:start w:val="7"/>
      <w:numFmt w:val="upperRoman"/>
      <w:pStyle w:val="Heading2"/>
      <w:lvlText w:val="%1."/>
      <w:lvlJc w:val="left"/>
      <w:pPr>
        <w:tabs>
          <w:tab w:val="num" w:pos="720"/>
        </w:tabs>
        <w:ind w:left="720" w:hanging="720"/>
      </w:pPr>
      <w:rPr>
        <w:rFonts w:ascii="Arial" w:hAnsi="Arial"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360"/>
        </w:tabs>
        <w:ind w:left="360" w:hanging="360"/>
      </w:pPr>
    </w:lvl>
    <w:lvl w:ilvl="5" w:tplc="0409001B" w:tentative="1">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56" w15:restartNumberingAfterBreak="0">
    <w:nsid w:val="77280BB0"/>
    <w:multiLevelType w:val="hybridMultilevel"/>
    <w:tmpl w:val="427876FC"/>
    <w:lvl w:ilvl="0" w:tplc="E258F9A2">
      <w:start w:val="1"/>
      <w:numFmt w:val="decimal"/>
      <w:lvlText w:val="%1."/>
      <w:lvlJc w:val="righ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7" w15:restartNumberingAfterBreak="0">
    <w:nsid w:val="773453AD"/>
    <w:multiLevelType w:val="hybridMultilevel"/>
    <w:tmpl w:val="94D67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EF5372"/>
    <w:multiLevelType w:val="hybridMultilevel"/>
    <w:tmpl w:val="F58475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8BF77A2"/>
    <w:multiLevelType w:val="hybridMultilevel"/>
    <w:tmpl w:val="BF661FEC"/>
    <w:lvl w:ilvl="0" w:tplc="04090001">
      <w:start w:val="1"/>
      <w:numFmt w:val="bullet"/>
      <w:lvlText w:val=""/>
      <w:lvlJc w:val="left"/>
      <w:pPr>
        <w:tabs>
          <w:tab w:val="num" w:pos="6570"/>
        </w:tabs>
        <w:ind w:left="6570" w:hanging="360"/>
      </w:pPr>
      <w:rPr>
        <w:rFonts w:ascii="Symbol" w:hAnsi="Symbol" w:hint="default"/>
      </w:rPr>
    </w:lvl>
    <w:lvl w:ilvl="1" w:tplc="FFFFFFFF">
      <w:start w:val="1"/>
      <w:numFmt w:val="decimal"/>
      <w:lvlText w:val="%2."/>
      <w:lvlJc w:val="left"/>
      <w:pPr>
        <w:tabs>
          <w:tab w:val="num" w:pos="1800"/>
        </w:tabs>
        <w:ind w:left="1800" w:hanging="360"/>
      </w:pPr>
      <w:rPr>
        <w:rFonts w:hint="default"/>
      </w:rPr>
    </w:lvl>
    <w:lvl w:ilvl="2" w:tplc="04090017">
      <w:start w:val="1"/>
      <w:numFmt w:val="lowerLetter"/>
      <w:lvlText w:val="%3)"/>
      <w:lvlJc w:val="lef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0" w15:restartNumberingAfterBreak="0">
    <w:nsid w:val="7A5976E4"/>
    <w:multiLevelType w:val="hybridMultilevel"/>
    <w:tmpl w:val="C5FE1E40"/>
    <w:lvl w:ilvl="0" w:tplc="55527D42">
      <w:start w:val="6"/>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A103DC"/>
    <w:multiLevelType w:val="hybridMultilevel"/>
    <w:tmpl w:val="5BFC24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03191947">
    <w:abstractNumId w:val="14"/>
  </w:num>
  <w:num w:numId="2" w16cid:durableId="1299920224">
    <w:abstractNumId w:val="50"/>
  </w:num>
  <w:num w:numId="3" w16cid:durableId="1104768921">
    <w:abstractNumId w:val="50"/>
  </w:num>
  <w:num w:numId="4" w16cid:durableId="759447090">
    <w:abstractNumId w:val="53"/>
  </w:num>
  <w:num w:numId="5" w16cid:durableId="47843886">
    <w:abstractNumId w:val="20"/>
  </w:num>
  <w:num w:numId="6" w16cid:durableId="308174050">
    <w:abstractNumId w:val="8"/>
  </w:num>
  <w:num w:numId="7" w16cid:durableId="1741126688">
    <w:abstractNumId w:val="33"/>
  </w:num>
  <w:num w:numId="8" w16cid:durableId="597299721">
    <w:abstractNumId w:val="28"/>
  </w:num>
  <w:num w:numId="9" w16cid:durableId="648679971">
    <w:abstractNumId w:val="54"/>
  </w:num>
  <w:num w:numId="10" w16cid:durableId="1240212503">
    <w:abstractNumId w:val="43"/>
  </w:num>
  <w:num w:numId="11" w16cid:durableId="1452360405">
    <w:abstractNumId w:val="55"/>
  </w:num>
  <w:num w:numId="12" w16cid:durableId="2070616135">
    <w:abstractNumId w:val="55"/>
  </w:num>
  <w:num w:numId="13" w16cid:durableId="1110512043">
    <w:abstractNumId w:val="39"/>
  </w:num>
  <w:num w:numId="14" w16cid:durableId="977106459">
    <w:abstractNumId w:val="11"/>
  </w:num>
  <w:num w:numId="15" w16cid:durableId="885291163">
    <w:abstractNumId w:val="49"/>
  </w:num>
  <w:num w:numId="16" w16cid:durableId="226456052">
    <w:abstractNumId w:val="35"/>
  </w:num>
  <w:num w:numId="17" w16cid:durableId="737627734">
    <w:abstractNumId w:val="45"/>
  </w:num>
  <w:num w:numId="18" w16cid:durableId="984700123">
    <w:abstractNumId w:val="40"/>
  </w:num>
  <w:num w:numId="19" w16cid:durableId="1757437807">
    <w:abstractNumId w:val="1"/>
  </w:num>
  <w:num w:numId="20" w16cid:durableId="1165166619">
    <w:abstractNumId w:val="6"/>
  </w:num>
  <w:num w:numId="21" w16cid:durableId="1172405241">
    <w:abstractNumId w:val="57"/>
  </w:num>
  <w:num w:numId="22" w16cid:durableId="1713192058">
    <w:abstractNumId w:val="13"/>
  </w:num>
  <w:num w:numId="23" w16cid:durableId="474026951">
    <w:abstractNumId w:val="52"/>
  </w:num>
  <w:num w:numId="24" w16cid:durableId="488518894">
    <w:abstractNumId w:val="47"/>
  </w:num>
  <w:num w:numId="25" w16cid:durableId="396052320">
    <w:abstractNumId w:val="50"/>
    <w:lvlOverride w:ilvl="0">
      <w:startOverride w:val="4"/>
    </w:lvlOverride>
  </w:num>
  <w:num w:numId="26" w16cid:durableId="1859004415">
    <w:abstractNumId w:val="10"/>
  </w:num>
  <w:num w:numId="27" w16cid:durableId="924454321">
    <w:abstractNumId w:val="38"/>
  </w:num>
  <w:num w:numId="28" w16cid:durableId="1263420688">
    <w:abstractNumId w:val="16"/>
  </w:num>
  <w:num w:numId="29" w16cid:durableId="1953121823">
    <w:abstractNumId w:val="56"/>
  </w:num>
  <w:num w:numId="30" w16cid:durableId="1063987415">
    <w:abstractNumId w:val="18"/>
  </w:num>
  <w:num w:numId="31" w16cid:durableId="1214735656">
    <w:abstractNumId w:val="12"/>
  </w:num>
  <w:num w:numId="32" w16cid:durableId="2079353523">
    <w:abstractNumId w:val="50"/>
    <w:lvlOverride w:ilvl="0">
      <w:startOverride w:val="1"/>
    </w:lvlOverride>
  </w:num>
  <w:num w:numId="33" w16cid:durableId="469440060">
    <w:abstractNumId w:val="37"/>
  </w:num>
  <w:num w:numId="34" w16cid:durableId="1976447132">
    <w:abstractNumId w:val="25"/>
  </w:num>
  <w:num w:numId="35" w16cid:durableId="321471425">
    <w:abstractNumId w:val="46"/>
  </w:num>
  <w:num w:numId="36" w16cid:durableId="967467986">
    <w:abstractNumId w:val="58"/>
  </w:num>
  <w:num w:numId="37" w16cid:durableId="1243561299">
    <w:abstractNumId w:val="30"/>
  </w:num>
  <w:num w:numId="38" w16cid:durableId="372080555">
    <w:abstractNumId w:val="59"/>
  </w:num>
  <w:num w:numId="39" w16cid:durableId="341662130">
    <w:abstractNumId w:val="17"/>
  </w:num>
  <w:num w:numId="40" w16cid:durableId="268661012">
    <w:abstractNumId w:val="15"/>
  </w:num>
  <w:num w:numId="41" w16cid:durableId="603464557">
    <w:abstractNumId w:val="51"/>
  </w:num>
  <w:num w:numId="42" w16cid:durableId="16931116">
    <w:abstractNumId w:val="60"/>
  </w:num>
  <w:num w:numId="43" w16cid:durableId="217935357">
    <w:abstractNumId w:val="19"/>
  </w:num>
  <w:num w:numId="44" w16cid:durableId="257176659">
    <w:abstractNumId w:val="0"/>
  </w:num>
  <w:num w:numId="45" w16cid:durableId="1803302735">
    <w:abstractNumId w:val="31"/>
  </w:num>
  <w:num w:numId="46" w16cid:durableId="1136987769">
    <w:abstractNumId w:val="42"/>
  </w:num>
  <w:num w:numId="47" w16cid:durableId="1478182965">
    <w:abstractNumId w:val="7"/>
  </w:num>
  <w:num w:numId="48" w16cid:durableId="450707939">
    <w:abstractNumId w:val="27"/>
  </w:num>
  <w:num w:numId="49" w16cid:durableId="836577641">
    <w:abstractNumId w:val="44"/>
  </w:num>
  <w:num w:numId="50" w16cid:durableId="281301002">
    <w:abstractNumId w:val="2"/>
  </w:num>
  <w:num w:numId="51" w16cid:durableId="81606024">
    <w:abstractNumId w:val="3"/>
  </w:num>
  <w:num w:numId="52" w16cid:durableId="1737779095">
    <w:abstractNumId w:val="23"/>
  </w:num>
  <w:num w:numId="53" w16cid:durableId="1995985876">
    <w:abstractNumId w:val="32"/>
  </w:num>
  <w:num w:numId="54" w16cid:durableId="974531473">
    <w:abstractNumId w:val="36"/>
  </w:num>
  <w:num w:numId="55" w16cid:durableId="1150973862">
    <w:abstractNumId w:val="48"/>
  </w:num>
  <w:num w:numId="56" w16cid:durableId="299725197">
    <w:abstractNumId w:val="5"/>
  </w:num>
  <w:num w:numId="57" w16cid:durableId="1510173950">
    <w:abstractNumId w:val="29"/>
  </w:num>
  <w:num w:numId="58" w16cid:durableId="257058826">
    <w:abstractNumId w:val="50"/>
  </w:num>
  <w:num w:numId="59" w16cid:durableId="1543595610">
    <w:abstractNumId w:val="21"/>
  </w:num>
  <w:num w:numId="60" w16cid:durableId="1286346823">
    <w:abstractNumId w:val="50"/>
  </w:num>
  <w:num w:numId="61" w16cid:durableId="107506539">
    <w:abstractNumId w:val="50"/>
  </w:num>
  <w:num w:numId="62" w16cid:durableId="717320433">
    <w:abstractNumId w:val="50"/>
  </w:num>
  <w:num w:numId="63" w16cid:durableId="1345669442">
    <w:abstractNumId w:val="50"/>
  </w:num>
  <w:num w:numId="64" w16cid:durableId="767383487">
    <w:abstractNumId w:val="50"/>
  </w:num>
  <w:num w:numId="65" w16cid:durableId="1514804646">
    <w:abstractNumId w:val="34"/>
  </w:num>
  <w:num w:numId="66" w16cid:durableId="1204950380">
    <w:abstractNumId w:val="61"/>
  </w:num>
  <w:num w:numId="67" w16cid:durableId="1846631603">
    <w:abstractNumId w:val="4"/>
  </w:num>
  <w:num w:numId="68" w16cid:durableId="1562213845">
    <w:abstractNumId w:val="50"/>
  </w:num>
  <w:num w:numId="69" w16cid:durableId="418334875">
    <w:abstractNumId w:val="22"/>
  </w:num>
  <w:num w:numId="70" w16cid:durableId="185562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51206060">
    <w:abstractNumId w:val="26"/>
  </w:num>
  <w:num w:numId="72" w16cid:durableId="144199325">
    <w:abstractNumId w:val="24"/>
  </w:num>
  <w:num w:numId="73" w16cid:durableId="769161926">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90"/>
    <w:rsid w:val="00003C94"/>
    <w:rsid w:val="0000445D"/>
    <w:rsid w:val="000048AF"/>
    <w:rsid w:val="0000716A"/>
    <w:rsid w:val="000075D5"/>
    <w:rsid w:val="00007988"/>
    <w:rsid w:val="00010A50"/>
    <w:rsid w:val="00010AE3"/>
    <w:rsid w:val="00011A69"/>
    <w:rsid w:val="000205B5"/>
    <w:rsid w:val="00031415"/>
    <w:rsid w:val="000319CA"/>
    <w:rsid w:val="00031FB3"/>
    <w:rsid w:val="0003273B"/>
    <w:rsid w:val="00036738"/>
    <w:rsid w:val="0003691A"/>
    <w:rsid w:val="000412DA"/>
    <w:rsid w:val="00046398"/>
    <w:rsid w:val="00046767"/>
    <w:rsid w:val="00050668"/>
    <w:rsid w:val="00051E37"/>
    <w:rsid w:val="000523A1"/>
    <w:rsid w:val="00053673"/>
    <w:rsid w:val="00061124"/>
    <w:rsid w:val="00066332"/>
    <w:rsid w:val="0007127E"/>
    <w:rsid w:val="00071EE4"/>
    <w:rsid w:val="0007214F"/>
    <w:rsid w:val="000755AF"/>
    <w:rsid w:val="00076516"/>
    <w:rsid w:val="00095645"/>
    <w:rsid w:val="00096ACC"/>
    <w:rsid w:val="000A2AFD"/>
    <w:rsid w:val="000A44C8"/>
    <w:rsid w:val="000A537E"/>
    <w:rsid w:val="000B0A47"/>
    <w:rsid w:val="000B5539"/>
    <w:rsid w:val="000B6420"/>
    <w:rsid w:val="000B675E"/>
    <w:rsid w:val="000B6E96"/>
    <w:rsid w:val="000D2DC4"/>
    <w:rsid w:val="000D4683"/>
    <w:rsid w:val="000E2926"/>
    <w:rsid w:val="000E7539"/>
    <w:rsid w:val="00106A72"/>
    <w:rsid w:val="001108D4"/>
    <w:rsid w:val="001110E7"/>
    <w:rsid w:val="001124AC"/>
    <w:rsid w:val="001128AD"/>
    <w:rsid w:val="0011758B"/>
    <w:rsid w:val="001219C1"/>
    <w:rsid w:val="00123884"/>
    <w:rsid w:val="00124B50"/>
    <w:rsid w:val="0013189E"/>
    <w:rsid w:val="001338A8"/>
    <w:rsid w:val="0013736D"/>
    <w:rsid w:val="001448E4"/>
    <w:rsid w:val="00152383"/>
    <w:rsid w:val="00153973"/>
    <w:rsid w:val="001547CD"/>
    <w:rsid w:val="00161E78"/>
    <w:rsid w:val="00163143"/>
    <w:rsid w:val="00165124"/>
    <w:rsid w:val="001713A2"/>
    <w:rsid w:val="001729AF"/>
    <w:rsid w:val="001770C0"/>
    <w:rsid w:val="00183FA6"/>
    <w:rsid w:val="001841DD"/>
    <w:rsid w:val="0018656F"/>
    <w:rsid w:val="0019084A"/>
    <w:rsid w:val="0019140A"/>
    <w:rsid w:val="00194326"/>
    <w:rsid w:val="001A0211"/>
    <w:rsid w:val="001C4575"/>
    <w:rsid w:val="001C7590"/>
    <w:rsid w:val="001C781F"/>
    <w:rsid w:val="001D2C26"/>
    <w:rsid w:val="001D2D3A"/>
    <w:rsid w:val="001D34CE"/>
    <w:rsid w:val="001D6868"/>
    <w:rsid w:val="001E7B9E"/>
    <w:rsid w:val="00204380"/>
    <w:rsid w:val="0020533C"/>
    <w:rsid w:val="002060B4"/>
    <w:rsid w:val="00206BA9"/>
    <w:rsid w:val="002075AD"/>
    <w:rsid w:val="002103FE"/>
    <w:rsid w:val="0021397E"/>
    <w:rsid w:val="0022404D"/>
    <w:rsid w:val="002259DB"/>
    <w:rsid w:val="00227133"/>
    <w:rsid w:val="00230796"/>
    <w:rsid w:val="002349FD"/>
    <w:rsid w:val="00235285"/>
    <w:rsid w:val="00241F9E"/>
    <w:rsid w:val="002429B8"/>
    <w:rsid w:val="0024371D"/>
    <w:rsid w:val="00251AC7"/>
    <w:rsid w:val="002526CD"/>
    <w:rsid w:val="002534D1"/>
    <w:rsid w:val="002622EE"/>
    <w:rsid w:val="00273A41"/>
    <w:rsid w:val="00287FA4"/>
    <w:rsid w:val="002914E4"/>
    <w:rsid w:val="00296C63"/>
    <w:rsid w:val="002A4972"/>
    <w:rsid w:val="002A74D8"/>
    <w:rsid w:val="002B3526"/>
    <w:rsid w:val="002C0566"/>
    <w:rsid w:val="002C0EBF"/>
    <w:rsid w:val="002C2B56"/>
    <w:rsid w:val="002C2C98"/>
    <w:rsid w:val="002D27BB"/>
    <w:rsid w:val="002D4650"/>
    <w:rsid w:val="002E0B80"/>
    <w:rsid w:val="002E3577"/>
    <w:rsid w:val="002E568B"/>
    <w:rsid w:val="002F3FC6"/>
    <w:rsid w:val="002F6C41"/>
    <w:rsid w:val="00302B35"/>
    <w:rsid w:val="00303ED9"/>
    <w:rsid w:val="003119BA"/>
    <w:rsid w:val="003130A7"/>
    <w:rsid w:val="00313A02"/>
    <w:rsid w:val="00324580"/>
    <w:rsid w:val="00325003"/>
    <w:rsid w:val="00325DA1"/>
    <w:rsid w:val="00327888"/>
    <w:rsid w:val="00327E2E"/>
    <w:rsid w:val="003309B9"/>
    <w:rsid w:val="003334A4"/>
    <w:rsid w:val="00337373"/>
    <w:rsid w:val="0034217C"/>
    <w:rsid w:val="003455B8"/>
    <w:rsid w:val="003462E0"/>
    <w:rsid w:val="0035255B"/>
    <w:rsid w:val="003562E6"/>
    <w:rsid w:val="003611F2"/>
    <w:rsid w:val="00364BCA"/>
    <w:rsid w:val="00367C17"/>
    <w:rsid w:val="003701F5"/>
    <w:rsid w:val="0037462C"/>
    <w:rsid w:val="00387A0F"/>
    <w:rsid w:val="00391433"/>
    <w:rsid w:val="00392EF5"/>
    <w:rsid w:val="00395836"/>
    <w:rsid w:val="00395CD7"/>
    <w:rsid w:val="003967A6"/>
    <w:rsid w:val="003A3056"/>
    <w:rsid w:val="003A62F9"/>
    <w:rsid w:val="003B7885"/>
    <w:rsid w:val="003C273B"/>
    <w:rsid w:val="003C5A49"/>
    <w:rsid w:val="003C6A28"/>
    <w:rsid w:val="003D101C"/>
    <w:rsid w:val="003D619B"/>
    <w:rsid w:val="003E17E1"/>
    <w:rsid w:val="003E3CA0"/>
    <w:rsid w:val="003E78F5"/>
    <w:rsid w:val="003F13CE"/>
    <w:rsid w:val="003F519E"/>
    <w:rsid w:val="003F5570"/>
    <w:rsid w:val="00400DDE"/>
    <w:rsid w:val="00401141"/>
    <w:rsid w:val="00402067"/>
    <w:rsid w:val="00403694"/>
    <w:rsid w:val="0040529A"/>
    <w:rsid w:val="00410A5B"/>
    <w:rsid w:val="00412DF6"/>
    <w:rsid w:val="00424912"/>
    <w:rsid w:val="00432469"/>
    <w:rsid w:val="004330A0"/>
    <w:rsid w:val="00440BED"/>
    <w:rsid w:val="00440E81"/>
    <w:rsid w:val="0044220A"/>
    <w:rsid w:val="00442CA6"/>
    <w:rsid w:val="00444037"/>
    <w:rsid w:val="0044480D"/>
    <w:rsid w:val="00444EBA"/>
    <w:rsid w:val="004474C5"/>
    <w:rsid w:val="004527BE"/>
    <w:rsid w:val="00452AAB"/>
    <w:rsid w:val="00453A02"/>
    <w:rsid w:val="00463ECA"/>
    <w:rsid w:val="004668E0"/>
    <w:rsid w:val="00481005"/>
    <w:rsid w:val="004852E6"/>
    <w:rsid w:val="0048648B"/>
    <w:rsid w:val="00487E39"/>
    <w:rsid w:val="00490D8D"/>
    <w:rsid w:val="00493D40"/>
    <w:rsid w:val="00495419"/>
    <w:rsid w:val="00497086"/>
    <w:rsid w:val="004A66C0"/>
    <w:rsid w:val="004B307D"/>
    <w:rsid w:val="004B5CFE"/>
    <w:rsid w:val="004C0D64"/>
    <w:rsid w:val="004C1AC6"/>
    <w:rsid w:val="004C4C13"/>
    <w:rsid w:val="004C5BBA"/>
    <w:rsid w:val="004D0876"/>
    <w:rsid w:val="004D659F"/>
    <w:rsid w:val="004D6F3A"/>
    <w:rsid w:val="004D719D"/>
    <w:rsid w:val="004D7E13"/>
    <w:rsid w:val="004E3227"/>
    <w:rsid w:val="004E421A"/>
    <w:rsid w:val="004E52BF"/>
    <w:rsid w:val="004E7E00"/>
    <w:rsid w:val="004F1B06"/>
    <w:rsid w:val="004F2C7F"/>
    <w:rsid w:val="004F3560"/>
    <w:rsid w:val="004F38D7"/>
    <w:rsid w:val="004F562A"/>
    <w:rsid w:val="004F6CB3"/>
    <w:rsid w:val="004F7000"/>
    <w:rsid w:val="005019BC"/>
    <w:rsid w:val="005041C5"/>
    <w:rsid w:val="0050454B"/>
    <w:rsid w:val="0051541D"/>
    <w:rsid w:val="005168D9"/>
    <w:rsid w:val="00521360"/>
    <w:rsid w:val="00522A36"/>
    <w:rsid w:val="0052300A"/>
    <w:rsid w:val="00523CF4"/>
    <w:rsid w:val="005243E6"/>
    <w:rsid w:val="0052605E"/>
    <w:rsid w:val="005265F6"/>
    <w:rsid w:val="00526B28"/>
    <w:rsid w:val="00530F70"/>
    <w:rsid w:val="00544F2F"/>
    <w:rsid w:val="00551729"/>
    <w:rsid w:val="0055181E"/>
    <w:rsid w:val="00553A88"/>
    <w:rsid w:val="0055713B"/>
    <w:rsid w:val="0056438A"/>
    <w:rsid w:val="0057341A"/>
    <w:rsid w:val="005768DC"/>
    <w:rsid w:val="00581D97"/>
    <w:rsid w:val="005836FC"/>
    <w:rsid w:val="00584B85"/>
    <w:rsid w:val="00584DBA"/>
    <w:rsid w:val="005912D3"/>
    <w:rsid w:val="00594955"/>
    <w:rsid w:val="005A0AA1"/>
    <w:rsid w:val="005A1E3B"/>
    <w:rsid w:val="005A55D5"/>
    <w:rsid w:val="005B55D8"/>
    <w:rsid w:val="005D13BA"/>
    <w:rsid w:val="005D648C"/>
    <w:rsid w:val="005E06D8"/>
    <w:rsid w:val="005E2D20"/>
    <w:rsid w:val="005E418E"/>
    <w:rsid w:val="005E483C"/>
    <w:rsid w:val="005E4FD1"/>
    <w:rsid w:val="005F4C2D"/>
    <w:rsid w:val="005F7423"/>
    <w:rsid w:val="005F7499"/>
    <w:rsid w:val="006013B0"/>
    <w:rsid w:val="006053BA"/>
    <w:rsid w:val="00610C9E"/>
    <w:rsid w:val="0061643A"/>
    <w:rsid w:val="00616F80"/>
    <w:rsid w:val="006267E4"/>
    <w:rsid w:val="0062739B"/>
    <w:rsid w:val="00627F57"/>
    <w:rsid w:val="006328E1"/>
    <w:rsid w:val="00642E3A"/>
    <w:rsid w:val="0064516E"/>
    <w:rsid w:val="00653237"/>
    <w:rsid w:val="006537CF"/>
    <w:rsid w:val="00654238"/>
    <w:rsid w:val="00662615"/>
    <w:rsid w:val="00673F97"/>
    <w:rsid w:val="00686072"/>
    <w:rsid w:val="00690FE5"/>
    <w:rsid w:val="00693DBC"/>
    <w:rsid w:val="00696981"/>
    <w:rsid w:val="00696DA8"/>
    <w:rsid w:val="006974A1"/>
    <w:rsid w:val="00697854"/>
    <w:rsid w:val="006A0AF5"/>
    <w:rsid w:val="006A3020"/>
    <w:rsid w:val="006B020B"/>
    <w:rsid w:val="006B3B22"/>
    <w:rsid w:val="006C006B"/>
    <w:rsid w:val="006C41B2"/>
    <w:rsid w:val="006D6F58"/>
    <w:rsid w:val="006E4E28"/>
    <w:rsid w:val="006E5A2C"/>
    <w:rsid w:val="006E79E9"/>
    <w:rsid w:val="006F04C8"/>
    <w:rsid w:val="006F3CAA"/>
    <w:rsid w:val="006F63CD"/>
    <w:rsid w:val="00706771"/>
    <w:rsid w:val="00707313"/>
    <w:rsid w:val="00707E13"/>
    <w:rsid w:val="007102BA"/>
    <w:rsid w:val="00714342"/>
    <w:rsid w:val="00714A39"/>
    <w:rsid w:val="00714D4D"/>
    <w:rsid w:val="00721DB8"/>
    <w:rsid w:val="00731232"/>
    <w:rsid w:val="00731F75"/>
    <w:rsid w:val="007358F9"/>
    <w:rsid w:val="007366E8"/>
    <w:rsid w:val="007430C5"/>
    <w:rsid w:val="007452EB"/>
    <w:rsid w:val="00752165"/>
    <w:rsid w:val="007547EA"/>
    <w:rsid w:val="0076054D"/>
    <w:rsid w:val="0076174B"/>
    <w:rsid w:val="00761AEC"/>
    <w:rsid w:val="0076670E"/>
    <w:rsid w:val="007712FC"/>
    <w:rsid w:val="0077191D"/>
    <w:rsid w:val="00774749"/>
    <w:rsid w:val="00780275"/>
    <w:rsid w:val="007817FC"/>
    <w:rsid w:val="00782F87"/>
    <w:rsid w:val="007841A0"/>
    <w:rsid w:val="0078678C"/>
    <w:rsid w:val="00786F44"/>
    <w:rsid w:val="00793296"/>
    <w:rsid w:val="00794C0D"/>
    <w:rsid w:val="007965C4"/>
    <w:rsid w:val="007A216C"/>
    <w:rsid w:val="007A5B22"/>
    <w:rsid w:val="007A66A8"/>
    <w:rsid w:val="007A7FC1"/>
    <w:rsid w:val="007B4E06"/>
    <w:rsid w:val="007B54FC"/>
    <w:rsid w:val="007B7EEE"/>
    <w:rsid w:val="007C6AFC"/>
    <w:rsid w:val="007C7721"/>
    <w:rsid w:val="007D1F7F"/>
    <w:rsid w:val="007D69D0"/>
    <w:rsid w:val="007E1F06"/>
    <w:rsid w:val="007E2D2A"/>
    <w:rsid w:val="007E4476"/>
    <w:rsid w:val="007F4481"/>
    <w:rsid w:val="007F5C43"/>
    <w:rsid w:val="00803AB9"/>
    <w:rsid w:val="00810836"/>
    <w:rsid w:val="00810CCC"/>
    <w:rsid w:val="00811483"/>
    <w:rsid w:val="008324A8"/>
    <w:rsid w:val="0083701D"/>
    <w:rsid w:val="00840735"/>
    <w:rsid w:val="0084186D"/>
    <w:rsid w:val="00841B08"/>
    <w:rsid w:val="00842406"/>
    <w:rsid w:val="00847FD7"/>
    <w:rsid w:val="008517C6"/>
    <w:rsid w:val="00852C84"/>
    <w:rsid w:val="008616D7"/>
    <w:rsid w:val="00863571"/>
    <w:rsid w:val="00865CE3"/>
    <w:rsid w:val="00866924"/>
    <w:rsid w:val="00870445"/>
    <w:rsid w:val="00870BEF"/>
    <w:rsid w:val="00872536"/>
    <w:rsid w:val="00874D8E"/>
    <w:rsid w:val="00880D73"/>
    <w:rsid w:val="0088383E"/>
    <w:rsid w:val="00884ACE"/>
    <w:rsid w:val="00887F6D"/>
    <w:rsid w:val="0089088A"/>
    <w:rsid w:val="0089471D"/>
    <w:rsid w:val="008B75E9"/>
    <w:rsid w:val="008C046A"/>
    <w:rsid w:val="008C32DB"/>
    <w:rsid w:val="008C3DD8"/>
    <w:rsid w:val="008D2F7D"/>
    <w:rsid w:val="008D6FAA"/>
    <w:rsid w:val="008E32EC"/>
    <w:rsid w:val="008E5E98"/>
    <w:rsid w:val="008E6964"/>
    <w:rsid w:val="008F5F74"/>
    <w:rsid w:val="00901934"/>
    <w:rsid w:val="00907CE9"/>
    <w:rsid w:val="0091156F"/>
    <w:rsid w:val="00911A4A"/>
    <w:rsid w:val="0091581C"/>
    <w:rsid w:val="00915A5D"/>
    <w:rsid w:val="00921992"/>
    <w:rsid w:val="00921CED"/>
    <w:rsid w:val="0092313E"/>
    <w:rsid w:val="00926C57"/>
    <w:rsid w:val="00926D10"/>
    <w:rsid w:val="0093264A"/>
    <w:rsid w:val="009332DE"/>
    <w:rsid w:val="00935979"/>
    <w:rsid w:val="0093608B"/>
    <w:rsid w:val="00944AFD"/>
    <w:rsid w:val="00952747"/>
    <w:rsid w:val="0096394D"/>
    <w:rsid w:val="0097023B"/>
    <w:rsid w:val="009720AF"/>
    <w:rsid w:val="00972E80"/>
    <w:rsid w:val="00976120"/>
    <w:rsid w:val="00976AE6"/>
    <w:rsid w:val="00977362"/>
    <w:rsid w:val="009800E9"/>
    <w:rsid w:val="009836BD"/>
    <w:rsid w:val="00985D1E"/>
    <w:rsid w:val="0099383D"/>
    <w:rsid w:val="009A0FB5"/>
    <w:rsid w:val="009A39D8"/>
    <w:rsid w:val="009B02F8"/>
    <w:rsid w:val="009B0A4F"/>
    <w:rsid w:val="009B0F3C"/>
    <w:rsid w:val="009B3954"/>
    <w:rsid w:val="009B7A36"/>
    <w:rsid w:val="009B7D73"/>
    <w:rsid w:val="009C0E84"/>
    <w:rsid w:val="009C15E4"/>
    <w:rsid w:val="009C1AFF"/>
    <w:rsid w:val="009C1C0C"/>
    <w:rsid w:val="009D041F"/>
    <w:rsid w:val="009D11C4"/>
    <w:rsid w:val="009D70DF"/>
    <w:rsid w:val="009E4FFC"/>
    <w:rsid w:val="009E687C"/>
    <w:rsid w:val="009F3F59"/>
    <w:rsid w:val="00A005D5"/>
    <w:rsid w:val="00A00BA1"/>
    <w:rsid w:val="00A01514"/>
    <w:rsid w:val="00A027F9"/>
    <w:rsid w:val="00A04281"/>
    <w:rsid w:val="00A10AE2"/>
    <w:rsid w:val="00A11CFA"/>
    <w:rsid w:val="00A14B5C"/>
    <w:rsid w:val="00A20592"/>
    <w:rsid w:val="00A22789"/>
    <w:rsid w:val="00A27CEB"/>
    <w:rsid w:val="00A3102D"/>
    <w:rsid w:val="00A33C9D"/>
    <w:rsid w:val="00A35B30"/>
    <w:rsid w:val="00A40F2C"/>
    <w:rsid w:val="00A4417A"/>
    <w:rsid w:val="00A469F2"/>
    <w:rsid w:val="00A55053"/>
    <w:rsid w:val="00A60B81"/>
    <w:rsid w:val="00A63C04"/>
    <w:rsid w:val="00A63DF0"/>
    <w:rsid w:val="00A66797"/>
    <w:rsid w:val="00A6687C"/>
    <w:rsid w:val="00A7011A"/>
    <w:rsid w:val="00A8091F"/>
    <w:rsid w:val="00A8353A"/>
    <w:rsid w:val="00A84F09"/>
    <w:rsid w:val="00A86AE2"/>
    <w:rsid w:val="00A879D8"/>
    <w:rsid w:val="00A933E5"/>
    <w:rsid w:val="00A94E45"/>
    <w:rsid w:val="00AA0E62"/>
    <w:rsid w:val="00AA2938"/>
    <w:rsid w:val="00AB39D9"/>
    <w:rsid w:val="00AB4604"/>
    <w:rsid w:val="00AB6D15"/>
    <w:rsid w:val="00AC424B"/>
    <w:rsid w:val="00AC5086"/>
    <w:rsid w:val="00AD087E"/>
    <w:rsid w:val="00AD1654"/>
    <w:rsid w:val="00AD49F4"/>
    <w:rsid w:val="00AE11AB"/>
    <w:rsid w:val="00AF1168"/>
    <w:rsid w:val="00AF403E"/>
    <w:rsid w:val="00AF46EE"/>
    <w:rsid w:val="00AF7A92"/>
    <w:rsid w:val="00AF7CA3"/>
    <w:rsid w:val="00B10FBB"/>
    <w:rsid w:val="00B179DC"/>
    <w:rsid w:val="00B21BB2"/>
    <w:rsid w:val="00B22AE0"/>
    <w:rsid w:val="00B2606E"/>
    <w:rsid w:val="00B26542"/>
    <w:rsid w:val="00B2728D"/>
    <w:rsid w:val="00B306B0"/>
    <w:rsid w:val="00B34416"/>
    <w:rsid w:val="00B40313"/>
    <w:rsid w:val="00B46E11"/>
    <w:rsid w:val="00B501BE"/>
    <w:rsid w:val="00B56BCF"/>
    <w:rsid w:val="00B631E9"/>
    <w:rsid w:val="00B64B4F"/>
    <w:rsid w:val="00B671BA"/>
    <w:rsid w:val="00B706E8"/>
    <w:rsid w:val="00B72040"/>
    <w:rsid w:val="00B7279C"/>
    <w:rsid w:val="00B76EE4"/>
    <w:rsid w:val="00B77475"/>
    <w:rsid w:val="00B82D2B"/>
    <w:rsid w:val="00B861D7"/>
    <w:rsid w:val="00B87411"/>
    <w:rsid w:val="00B91CAF"/>
    <w:rsid w:val="00B941AF"/>
    <w:rsid w:val="00B96D1E"/>
    <w:rsid w:val="00BA4E4A"/>
    <w:rsid w:val="00BA544F"/>
    <w:rsid w:val="00BA5D8F"/>
    <w:rsid w:val="00BA7A78"/>
    <w:rsid w:val="00BA7B4E"/>
    <w:rsid w:val="00BB3D41"/>
    <w:rsid w:val="00BB5F1D"/>
    <w:rsid w:val="00BC36AA"/>
    <w:rsid w:val="00BC4D26"/>
    <w:rsid w:val="00BC68A2"/>
    <w:rsid w:val="00BC6CC9"/>
    <w:rsid w:val="00BD008E"/>
    <w:rsid w:val="00BD23DA"/>
    <w:rsid w:val="00BD7BEF"/>
    <w:rsid w:val="00BE1355"/>
    <w:rsid w:val="00BE4798"/>
    <w:rsid w:val="00C01318"/>
    <w:rsid w:val="00C028D8"/>
    <w:rsid w:val="00C04EE5"/>
    <w:rsid w:val="00C05E8F"/>
    <w:rsid w:val="00C1369B"/>
    <w:rsid w:val="00C14D90"/>
    <w:rsid w:val="00C16B56"/>
    <w:rsid w:val="00C17101"/>
    <w:rsid w:val="00C171BE"/>
    <w:rsid w:val="00C21C3C"/>
    <w:rsid w:val="00C24DBA"/>
    <w:rsid w:val="00C259FB"/>
    <w:rsid w:val="00C2601A"/>
    <w:rsid w:val="00C27375"/>
    <w:rsid w:val="00C32F6B"/>
    <w:rsid w:val="00C34878"/>
    <w:rsid w:val="00C34C6A"/>
    <w:rsid w:val="00C34F6A"/>
    <w:rsid w:val="00C4321A"/>
    <w:rsid w:val="00C46943"/>
    <w:rsid w:val="00C51A42"/>
    <w:rsid w:val="00C678A4"/>
    <w:rsid w:val="00C717E0"/>
    <w:rsid w:val="00C7211E"/>
    <w:rsid w:val="00C8086C"/>
    <w:rsid w:val="00C82371"/>
    <w:rsid w:val="00C86BD8"/>
    <w:rsid w:val="00C934D5"/>
    <w:rsid w:val="00C97502"/>
    <w:rsid w:val="00CA2E6F"/>
    <w:rsid w:val="00CB2C18"/>
    <w:rsid w:val="00CB3541"/>
    <w:rsid w:val="00CC1C72"/>
    <w:rsid w:val="00CC71ED"/>
    <w:rsid w:val="00CD2445"/>
    <w:rsid w:val="00CD4471"/>
    <w:rsid w:val="00CD472E"/>
    <w:rsid w:val="00CE0827"/>
    <w:rsid w:val="00CE1289"/>
    <w:rsid w:val="00CE19E6"/>
    <w:rsid w:val="00CE74DF"/>
    <w:rsid w:val="00CE7538"/>
    <w:rsid w:val="00CF4F4D"/>
    <w:rsid w:val="00CF60AA"/>
    <w:rsid w:val="00D0183B"/>
    <w:rsid w:val="00D02C3D"/>
    <w:rsid w:val="00D047D7"/>
    <w:rsid w:val="00D0501A"/>
    <w:rsid w:val="00D1539B"/>
    <w:rsid w:val="00D15705"/>
    <w:rsid w:val="00D15E08"/>
    <w:rsid w:val="00D21AF2"/>
    <w:rsid w:val="00D21E11"/>
    <w:rsid w:val="00D26F03"/>
    <w:rsid w:val="00D27C44"/>
    <w:rsid w:val="00D30A9E"/>
    <w:rsid w:val="00D34C62"/>
    <w:rsid w:val="00D35FF1"/>
    <w:rsid w:val="00D56F9A"/>
    <w:rsid w:val="00D575AC"/>
    <w:rsid w:val="00D63BBF"/>
    <w:rsid w:val="00D6618C"/>
    <w:rsid w:val="00D75664"/>
    <w:rsid w:val="00D820EC"/>
    <w:rsid w:val="00D85BBF"/>
    <w:rsid w:val="00D8782E"/>
    <w:rsid w:val="00DA1B66"/>
    <w:rsid w:val="00DA24B9"/>
    <w:rsid w:val="00DA25F5"/>
    <w:rsid w:val="00DA30F3"/>
    <w:rsid w:val="00DA633C"/>
    <w:rsid w:val="00DB2C22"/>
    <w:rsid w:val="00DB5C0C"/>
    <w:rsid w:val="00DC03B9"/>
    <w:rsid w:val="00DC2428"/>
    <w:rsid w:val="00DC394F"/>
    <w:rsid w:val="00DC6133"/>
    <w:rsid w:val="00DC7564"/>
    <w:rsid w:val="00DC7F2D"/>
    <w:rsid w:val="00DD0F42"/>
    <w:rsid w:val="00DD3BBD"/>
    <w:rsid w:val="00DD6BDB"/>
    <w:rsid w:val="00DE0746"/>
    <w:rsid w:val="00DE1A6E"/>
    <w:rsid w:val="00DE743D"/>
    <w:rsid w:val="00DF2508"/>
    <w:rsid w:val="00DF51B6"/>
    <w:rsid w:val="00DF53A5"/>
    <w:rsid w:val="00DF7433"/>
    <w:rsid w:val="00E0028C"/>
    <w:rsid w:val="00E01339"/>
    <w:rsid w:val="00E0313A"/>
    <w:rsid w:val="00E03587"/>
    <w:rsid w:val="00E10220"/>
    <w:rsid w:val="00E12879"/>
    <w:rsid w:val="00E14821"/>
    <w:rsid w:val="00E164D5"/>
    <w:rsid w:val="00E23CF4"/>
    <w:rsid w:val="00E27A00"/>
    <w:rsid w:val="00E27E1F"/>
    <w:rsid w:val="00E346F5"/>
    <w:rsid w:val="00E35EC6"/>
    <w:rsid w:val="00E40764"/>
    <w:rsid w:val="00E43230"/>
    <w:rsid w:val="00E441E5"/>
    <w:rsid w:val="00E44DE4"/>
    <w:rsid w:val="00E45312"/>
    <w:rsid w:val="00E51077"/>
    <w:rsid w:val="00E6027A"/>
    <w:rsid w:val="00E66E54"/>
    <w:rsid w:val="00E70B06"/>
    <w:rsid w:val="00E73EA8"/>
    <w:rsid w:val="00E7737C"/>
    <w:rsid w:val="00E8163B"/>
    <w:rsid w:val="00E8231C"/>
    <w:rsid w:val="00E825B6"/>
    <w:rsid w:val="00E87493"/>
    <w:rsid w:val="00E908E3"/>
    <w:rsid w:val="00E90F48"/>
    <w:rsid w:val="00E94DC9"/>
    <w:rsid w:val="00EA7AAB"/>
    <w:rsid w:val="00EB02A9"/>
    <w:rsid w:val="00EB2CF8"/>
    <w:rsid w:val="00EB4386"/>
    <w:rsid w:val="00EB67AC"/>
    <w:rsid w:val="00EB6F0D"/>
    <w:rsid w:val="00EB7A07"/>
    <w:rsid w:val="00EC17B0"/>
    <w:rsid w:val="00EC199C"/>
    <w:rsid w:val="00EC78F3"/>
    <w:rsid w:val="00ED0E7E"/>
    <w:rsid w:val="00ED266A"/>
    <w:rsid w:val="00ED270F"/>
    <w:rsid w:val="00ED3D09"/>
    <w:rsid w:val="00ED4229"/>
    <w:rsid w:val="00ED557E"/>
    <w:rsid w:val="00ED6743"/>
    <w:rsid w:val="00EE29DE"/>
    <w:rsid w:val="00EE4A2A"/>
    <w:rsid w:val="00EE5FBC"/>
    <w:rsid w:val="00F0058C"/>
    <w:rsid w:val="00F03D54"/>
    <w:rsid w:val="00F04F12"/>
    <w:rsid w:val="00F05C4E"/>
    <w:rsid w:val="00F1580E"/>
    <w:rsid w:val="00F15852"/>
    <w:rsid w:val="00F173BC"/>
    <w:rsid w:val="00F230BF"/>
    <w:rsid w:val="00F26902"/>
    <w:rsid w:val="00F27CE6"/>
    <w:rsid w:val="00F30026"/>
    <w:rsid w:val="00F34E5C"/>
    <w:rsid w:val="00F356F7"/>
    <w:rsid w:val="00F35E15"/>
    <w:rsid w:val="00F4023D"/>
    <w:rsid w:val="00F40AB7"/>
    <w:rsid w:val="00F41436"/>
    <w:rsid w:val="00F41699"/>
    <w:rsid w:val="00F438C6"/>
    <w:rsid w:val="00F43911"/>
    <w:rsid w:val="00F454CC"/>
    <w:rsid w:val="00F45B3F"/>
    <w:rsid w:val="00F47E50"/>
    <w:rsid w:val="00F55EF0"/>
    <w:rsid w:val="00F66D1B"/>
    <w:rsid w:val="00F721B9"/>
    <w:rsid w:val="00F7558E"/>
    <w:rsid w:val="00F81141"/>
    <w:rsid w:val="00F8444B"/>
    <w:rsid w:val="00F916BB"/>
    <w:rsid w:val="00F951BE"/>
    <w:rsid w:val="00F97439"/>
    <w:rsid w:val="00FA5591"/>
    <w:rsid w:val="00FA6261"/>
    <w:rsid w:val="00FB1E00"/>
    <w:rsid w:val="00FD1938"/>
    <w:rsid w:val="00FE1841"/>
    <w:rsid w:val="00FE3A27"/>
    <w:rsid w:val="00FE5DEA"/>
    <w:rsid w:val="00FE66C8"/>
    <w:rsid w:val="00FE7D24"/>
    <w:rsid w:val="00FF002C"/>
    <w:rsid w:val="00FF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59F59"/>
  <w15:docId w15:val="{A62F117D-696D-48C7-9070-F0160323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A4"/>
    <w:rPr>
      <w:sz w:val="24"/>
      <w:szCs w:val="24"/>
    </w:rPr>
  </w:style>
  <w:style w:type="paragraph" w:styleId="Heading1">
    <w:name w:val="heading 1"/>
    <w:basedOn w:val="Normal"/>
    <w:next w:val="Normal"/>
    <w:qFormat/>
    <w:rsid w:val="003334A4"/>
    <w:pPr>
      <w:keepNext/>
      <w:outlineLvl w:val="0"/>
    </w:pPr>
    <w:rPr>
      <w:rFonts w:ascii="Arial" w:hAnsi="Arial"/>
      <w:b/>
      <w:szCs w:val="20"/>
    </w:rPr>
  </w:style>
  <w:style w:type="paragraph" w:styleId="Heading2">
    <w:name w:val="heading 2"/>
    <w:basedOn w:val="Normal"/>
    <w:next w:val="Normal"/>
    <w:qFormat/>
    <w:rsid w:val="003334A4"/>
    <w:pPr>
      <w:keepNext/>
      <w:numPr>
        <w:numId w:val="11"/>
      </w:numPr>
      <w:outlineLvl w:val="1"/>
    </w:pPr>
    <w:rPr>
      <w:rFonts w:ascii="Arial" w:hAnsi="Arial"/>
      <w:b/>
      <w:bCs/>
      <w:u w:val="single"/>
    </w:rPr>
  </w:style>
  <w:style w:type="paragraph" w:styleId="Heading3">
    <w:name w:val="heading 3"/>
    <w:basedOn w:val="Normal"/>
    <w:next w:val="Normal"/>
    <w:qFormat/>
    <w:rsid w:val="003334A4"/>
    <w:pPr>
      <w:keepNext/>
      <w:tabs>
        <w:tab w:val="left" w:pos="3600"/>
      </w:tabs>
      <w:jc w:val="center"/>
      <w:outlineLvl w:val="2"/>
    </w:pPr>
    <w:rPr>
      <w:rFonts w:ascii="Arial" w:hAnsi="Arial"/>
      <w:b/>
      <w:bCs/>
    </w:rPr>
  </w:style>
  <w:style w:type="paragraph" w:styleId="Heading4">
    <w:name w:val="heading 4"/>
    <w:basedOn w:val="Normal"/>
    <w:next w:val="Normal"/>
    <w:qFormat/>
    <w:rsid w:val="003334A4"/>
    <w:pPr>
      <w:keepNext/>
      <w:ind w:left="720" w:hanging="720"/>
      <w:outlineLvl w:val="3"/>
    </w:pPr>
    <w:rPr>
      <w:rFonts w:ascii="Arial" w:hAnsi="Arial"/>
      <w:b/>
      <w:bCs/>
    </w:rPr>
  </w:style>
  <w:style w:type="paragraph" w:styleId="Heading5">
    <w:name w:val="heading 5"/>
    <w:basedOn w:val="Normal"/>
    <w:next w:val="Normal"/>
    <w:link w:val="Heading5Char"/>
    <w:qFormat/>
    <w:rsid w:val="003334A4"/>
    <w:pPr>
      <w:keepNext/>
      <w:numPr>
        <w:numId w:val="2"/>
      </w:numPr>
      <w:outlineLvl w:val="4"/>
    </w:pPr>
    <w:rPr>
      <w:rFonts w:ascii="Arial" w:hAnsi="Arial"/>
      <w:b/>
      <w:bCs/>
    </w:rPr>
  </w:style>
  <w:style w:type="paragraph" w:styleId="Heading6">
    <w:name w:val="heading 6"/>
    <w:basedOn w:val="Normal"/>
    <w:next w:val="Normal"/>
    <w:qFormat/>
    <w:rsid w:val="003334A4"/>
    <w:pPr>
      <w:keepNext/>
      <w:ind w:left="720"/>
      <w:outlineLvl w:val="5"/>
    </w:pPr>
    <w:rPr>
      <w:rFonts w:ascii="Arial" w:hAnsi="Arial"/>
      <w:b/>
      <w:bCs/>
    </w:rPr>
  </w:style>
  <w:style w:type="paragraph" w:styleId="Heading7">
    <w:name w:val="heading 7"/>
    <w:basedOn w:val="Normal"/>
    <w:next w:val="Normal"/>
    <w:qFormat/>
    <w:rsid w:val="003334A4"/>
    <w:pPr>
      <w:keepNext/>
      <w:ind w:firstLine="2160"/>
      <w:outlineLvl w:val="6"/>
    </w:pPr>
    <w:rPr>
      <w:rFonts w:ascii="Arial" w:hAnsi="Arial"/>
      <w:b/>
      <w:szCs w:val="20"/>
    </w:rPr>
  </w:style>
  <w:style w:type="paragraph" w:styleId="Heading8">
    <w:name w:val="heading 8"/>
    <w:basedOn w:val="Normal"/>
    <w:next w:val="Normal"/>
    <w:qFormat/>
    <w:rsid w:val="003334A4"/>
    <w:pPr>
      <w:keepNext/>
      <w:ind w:firstLine="2160"/>
      <w:outlineLvl w:val="7"/>
    </w:pPr>
    <w:rPr>
      <w:rFonts w:ascii="Arial" w:hAnsi="Arial"/>
      <w:b/>
      <w:szCs w:val="20"/>
      <w:u w:val="single"/>
    </w:rPr>
  </w:style>
  <w:style w:type="paragraph" w:styleId="Heading9">
    <w:name w:val="heading 9"/>
    <w:basedOn w:val="Normal"/>
    <w:next w:val="Normal"/>
    <w:qFormat/>
    <w:rsid w:val="003334A4"/>
    <w:pPr>
      <w:keepNext/>
      <w:autoSpaceDE w:val="0"/>
      <w:autoSpaceDN w:val="0"/>
      <w:adjustRightInd w:val="0"/>
      <w:ind w:left="360"/>
      <w:jc w:val="right"/>
      <w:outlineLvl w:val="8"/>
    </w:pPr>
    <w:rPr>
      <w:rFonts w:ascii="Arial" w:hAnsi="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34A4"/>
    <w:pPr>
      <w:tabs>
        <w:tab w:val="center" w:pos="4320"/>
        <w:tab w:val="right" w:pos="8640"/>
      </w:tabs>
    </w:pPr>
    <w:rPr>
      <w:rFonts w:ascii="Arial" w:hAnsi="Arial"/>
      <w:szCs w:val="20"/>
    </w:rPr>
  </w:style>
  <w:style w:type="paragraph" w:styleId="BodyTextIndent2">
    <w:name w:val="Body Text Indent 2"/>
    <w:basedOn w:val="Normal"/>
    <w:link w:val="BodyTextIndent2Char"/>
    <w:rsid w:val="003334A4"/>
    <w:pPr>
      <w:ind w:left="1080"/>
    </w:pPr>
    <w:rPr>
      <w:rFonts w:ascii="Arial" w:hAnsi="Arial"/>
      <w:szCs w:val="20"/>
    </w:rPr>
  </w:style>
  <w:style w:type="character" w:styleId="Hyperlink">
    <w:name w:val="Hyperlink"/>
    <w:basedOn w:val="DefaultParagraphFont"/>
    <w:rsid w:val="003334A4"/>
    <w:rPr>
      <w:color w:val="0000FF"/>
      <w:u w:val="single"/>
    </w:rPr>
  </w:style>
  <w:style w:type="paragraph" w:styleId="BodyTextIndent3">
    <w:name w:val="Body Text Indent 3"/>
    <w:basedOn w:val="Normal"/>
    <w:rsid w:val="003334A4"/>
    <w:pPr>
      <w:tabs>
        <w:tab w:val="left" w:pos="1080"/>
      </w:tabs>
      <w:overflowPunct w:val="0"/>
      <w:autoSpaceDE w:val="0"/>
      <w:autoSpaceDN w:val="0"/>
      <w:adjustRightInd w:val="0"/>
      <w:ind w:left="1080"/>
      <w:jc w:val="both"/>
      <w:textAlignment w:val="baseline"/>
    </w:pPr>
    <w:rPr>
      <w:rFonts w:ascii="Arial" w:hAnsi="Arial" w:cs="Arial"/>
      <w:sz w:val="22"/>
      <w:szCs w:val="20"/>
    </w:rPr>
  </w:style>
  <w:style w:type="paragraph" w:styleId="BodyTextIndent">
    <w:name w:val="Body Text Indent"/>
    <w:basedOn w:val="Normal"/>
    <w:rsid w:val="003334A4"/>
    <w:pPr>
      <w:ind w:left="720" w:hanging="360"/>
    </w:pPr>
    <w:rPr>
      <w:rFonts w:ascii="Arial" w:hAnsi="Arial"/>
    </w:rPr>
  </w:style>
  <w:style w:type="paragraph" w:styleId="Footer">
    <w:name w:val="footer"/>
    <w:basedOn w:val="Normal"/>
    <w:link w:val="FooterChar"/>
    <w:uiPriority w:val="99"/>
    <w:rsid w:val="003334A4"/>
    <w:pPr>
      <w:tabs>
        <w:tab w:val="center" w:pos="4320"/>
        <w:tab w:val="right" w:pos="8640"/>
      </w:tabs>
    </w:pPr>
  </w:style>
  <w:style w:type="character" w:styleId="PageNumber">
    <w:name w:val="page number"/>
    <w:basedOn w:val="DefaultParagraphFont"/>
    <w:rsid w:val="003334A4"/>
  </w:style>
  <w:style w:type="paragraph" w:styleId="BlockText">
    <w:name w:val="Block Text"/>
    <w:basedOn w:val="Normal"/>
    <w:rsid w:val="003334A4"/>
    <w:pPr>
      <w:ind w:left="1440" w:right="-180" w:hanging="360"/>
    </w:pPr>
    <w:rPr>
      <w:rFonts w:ascii="Arial" w:hAnsi="Arial"/>
    </w:rPr>
  </w:style>
  <w:style w:type="paragraph" w:styleId="BodyText">
    <w:name w:val="Body Text"/>
    <w:basedOn w:val="Normal"/>
    <w:rsid w:val="003334A4"/>
    <w:pPr>
      <w:autoSpaceDE w:val="0"/>
      <w:autoSpaceDN w:val="0"/>
      <w:adjustRightInd w:val="0"/>
      <w:ind w:right="360"/>
    </w:pPr>
    <w:rPr>
      <w:rFonts w:ascii="Arial" w:hAnsi="Arial"/>
      <w:b/>
      <w:color w:val="000000"/>
      <w:sz w:val="20"/>
    </w:rPr>
  </w:style>
  <w:style w:type="paragraph" w:styleId="BalloonText">
    <w:name w:val="Balloon Text"/>
    <w:basedOn w:val="Normal"/>
    <w:semiHidden/>
    <w:rsid w:val="003334A4"/>
    <w:rPr>
      <w:rFonts w:ascii="Tahoma" w:hAnsi="Tahoma" w:cs="Tahoma"/>
      <w:sz w:val="16"/>
      <w:szCs w:val="16"/>
    </w:rPr>
  </w:style>
  <w:style w:type="paragraph" w:styleId="EnvelopeReturn">
    <w:name w:val="envelope return"/>
    <w:basedOn w:val="Normal"/>
    <w:rsid w:val="004E7E00"/>
    <w:rPr>
      <w:rFonts w:ascii="Arial" w:hAnsi="Arial"/>
      <w:sz w:val="20"/>
      <w:szCs w:val="20"/>
    </w:rPr>
  </w:style>
  <w:style w:type="paragraph" w:styleId="BodyText2">
    <w:name w:val="Body Text 2"/>
    <w:basedOn w:val="Normal"/>
    <w:link w:val="BodyText2Char"/>
    <w:rsid w:val="004E7E00"/>
    <w:rPr>
      <w:rFonts w:ascii="Arial" w:hAnsi="Arial"/>
      <w:b/>
      <w:szCs w:val="20"/>
    </w:rPr>
  </w:style>
  <w:style w:type="character" w:customStyle="1" w:styleId="BodyText2Char">
    <w:name w:val="Body Text 2 Char"/>
    <w:basedOn w:val="DefaultParagraphFont"/>
    <w:link w:val="BodyText2"/>
    <w:rsid w:val="004E7E00"/>
    <w:rPr>
      <w:rFonts w:ascii="Arial" w:hAnsi="Arial"/>
      <w:b/>
      <w:sz w:val="24"/>
      <w:lang w:eastAsia="en-US"/>
    </w:rPr>
  </w:style>
  <w:style w:type="paragraph" w:styleId="FootnoteText">
    <w:name w:val="footnote text"/>
    <w:basedOn w:val="Normal"/>
    <w:link w:val="FootnoteTextChar"/>
    <w:semiHidden/>
    <w:rsid w:val="004E7E00"/>
    <w:rPr>
      <w:rFonts w:ascii="Arial" w:hAnsi="Arial"/>
      <w:sz w:val="20"/>
      <w:szCs w:val="20"/>
    </w:rPr>
  </w:style>
  <w:style w:type="character" w:customStyle="1" w:styleId="FootnoteTextChar">
    <w:name w:val="Footnote Text Char"/>
    <w:basedOn w:val="DefaultParagraphFont"/>
    <w:link w:val="FootnoteText"/>
    <w:semiHidden/>
    <w:rsid w:val="004E7E00"/>
    <w:rPr>
      <w:rFonts w:ascii="Arial" w:hAnsi="Arial"/>
      <w:lang w:eastAsia="en-US"/>
    </w:rPr>
  </w:style>
  <w:style w:type="character" w:customStyle="1" w:styleId="DocumentMapChar">
    <w:name w:val="Document Map Char"/>
    <w:basedOn w:val="DefaultParagraphFont"/>
    <w:link w:val="DocumentMap"/>
    <w:semiHidden/>
    <w:rsid w:val="004E7E00"/>
    <w:rPr>
      <w:rFonts w:ascii="Tahoma" w:hAnsi="Tahoma"/>
      <w:shd w:val="clear" w:color="auto" w:fill="000080"/>
      <w:lang w:eastAsia="en-US"/>
    </w:rPr>
  </w:style>
  <w:style w:type="paragraph" w:styleId="DocumentMap">
    <w:name w:val="Document Map"/>
    <w:basedOn w:val="Normal"/>
    <w:link w:val="DocumentMapChar"/>
    <w:semiHidden/>
    <w:rsid w:val="004E7E00"/>
    <w:pPr>
      <w:shd w:val="clear" w:color="auto" w:fill="000080"/>
    </w:pPr>
    <w:rPr>
      <w:rFonts w:ascii="Tahoma" w:hAnsi="Tahoma"/>
      <w:sz w:val="20"/>
      <w:szCs w:val="20"/>
    </w:rPr>
  </w:style>
  <w:style w:type="paragraph" w:styleId="BodyText3">
    <w:name w:val="Body Text 3"/>
    <w:basedOn w:val="Normal"/>
    <w:link w:val="BodyText3Char"/>
    <w:rsid w:val="004E7E00"/>
    <w:rPr>
      <w:b/>
      <w:sz w:val="22"/>
      <w:szCs w:val="20"/>
    </w:rPr>
  </w:style>
  <w:style w:type="character" w:customStyle="1" w:styleId="BodyText3Char">
    <w:name w:val="Body Text 3 Char"/>
    <w:basedOn w:val="DefaultParagraphFont"/>
    <w:link w:val="BodyText3"/>
    <w:rsid w:val="004E7E00"/>
    <w:rPr>
      <w:b/>
      <w:sz w:val="22"/>
      <w:lang w:eastAsia="en-US"/>
    </w:rPr>
  </w:style>
  <w:style w:type="paragraph" w:styleId="Revision">
    <w:name w:val="Revision"/>
    <w:hidden/>
    <w:uiPriority w:val="99"/>
    <w:semiHidden/>
    <w:rsid w:val="00A7011A"/>
    <w:rPr>
      <w:sz w:val="24"/>
      <w:szCs w:val="24"/>
    </w:rPr>
  </w:style>
  <w:style w:type="character" w:styleId="CommentReference">
    <w:name w:val="annotation reference"/>
    <w:basedOn w:val="DefaultParagraphFont"/>
    <w:uiPriority w:val="99"/>
    <w:semiHidden/>
    <w:unhideWhenUsed/>
    <w:rsid w:val="00A7011A"/>
    <w:rPr>
      <w:sz w:val="16"/>
      <w:szCs w:val="16"/>
    </w:rPr>
  </w:style>
  <w:style w:type="paragraph" w:styleId="CommentText">
    <w:name w:val="annotation text"/>
    <w:basedOn w:val="Normal"/>
    <w:link w:val="CommentTextChar"/>
    <w:uiPriority w:val="99"/>
    <w:unhideWhenUsed/>
    <w:rsid w:val="00A7011A"/>
    <w:rPr>
      <w:sz w:val="20"/>
      <w:szCs w:val="20"/>
    </w:rPr>
  </w:style>
  <w:style w:type="character" w:customStyle="1" w:styleId="CommentTextChar">
    <w:name w:val="Comment Text Char"/>
    <w:basedOn w:val="DefaultParagraphFont"/>
    <w:link w:val="CommentText"/>
    <w:uiPriority w:val="99"/>
    <w:rsid w:val="00A7011A"/>
  </w:style>
  <w:style w:type="paragraph" w:styleId="CommentSubject">
    <w:name w:val="annotation subject"/>
    <w:basedOn w:val="CommentText"/>
    <w:next w:val="CommentText"/>
    <w:link w:val="CommentSubjectChar"/>
    <w:uiPriority w:val="99"/>
    <w:semiHidden/>
    <w:unhideWhenUsed/>
    <w:rsid w:val="00A7011A"/>
    <w:rPr>
      <w:b/>
      <w:bCs/>
    </w:rPr>
  </w:style>
  <w:style w:type="character" w:customStyle="1" w:styleId="CommentSubjectChar">
    <w:name w:val="Comment Subject Char"/>
    <w:basedOn w:val="CommentTextChar"/>
    <w:link w:val="CommentSubject"/>
    <w:uiPriority w:val="99"/>
    <w:semiHidden/>
    <w:rsid w:val="00A7011A"/>
    <w:rPr>
      <w:b/>
      <w:bCs/>
    </w:rPr>
  </w:style>
  <w:style w:type="paragraph" w:styleId="ListParagraph">
    <w:name w:val="List Paragraph"/>
    <w:basedOn w:val="Normal"/>
    <w:uiPriority w:val="34"/>
    <w:qFormat/>
    <w:rsid w:val="005D648C"/>
    <w:pPr>
      <w:ind w:left="720"/>
    </w:pPr>
  </w:style>
  <w:style w:type="character" w:customStyle="1" w:styleId="FooterChar">
    <w:name w:val="Footer Char"/>
    <w:basedOn w:val="DefaultParagraphFont"/>
    <w:link w:val="Footer"/>
    <w:uiPriority w:val="99"/>
    <w:rsid w:val="003130A7"/>
    <w:rPr>
      <w:sz w:val="24"/>
      <w:szCs w:val="24"/>
      <w:lang w:eastAsia="en-US"/>
    </w:rPr>
  </w:style>
  <w:style w:type="paragraph" w:styleId="NormalWeb">
    <w:name w:val="Normal (Web)"/>
    <w:basedOn w:val="Normal"/>
    <w:uiPriority w:val="99"/>
    <w:semiHidden/>
    <w:unhideWhenUsed/>
    <w:rsid w:val="00A04281"/>
    <w:pPr>
      <w:spacing w:before="100" w:beforeAutospacing="1" w:after="100" w:afterAutospacing="1"/>
    </w:pPr>
    <w:rPr>
      <w:rFonts w:eastAsia="Calibri"/>
    </w:rPr>
  </w:style>
  <w:style w:type="character" w:customStyle="1" w:styleId="BodyTextIndent2Char">
    <w:name w:val="Body Text Indent 2 Char"/>
    <w:basedOn w:val="DefaultParagraphFont"/>
    <w:link w:val="BodyTextIndent2"/>
    <w:rsid w:val="00163143"/>
    <w:rPr>
      <w:rFonts w:ascii="Arial" w:hAnsi="Arial"/>
      <w:sz w:val="24"/>
    </w:rPr>
  </w:style>
  <w:style w:type="character" w:styleId="FollowedHyperlink">
    <w:name w:val="FollowedHyperlink"/>
    <w:basedOn w:val="DefaultParagraphFont"/>
    <w:uiPriority w:val="99"/>
    <w:semiHidden/>
    <w:unhideWhenUsed/>
    <w:rsid w:val="004B307D"/>
    <w:rPr>
      <w:color w:val="800080" w:themeColor="followedHyperlink"/>
      <w:u w:val="single"/>
    </w:rPr>
  </w:style>
  <w:style w:type="character" w:customStyle="1" w:styleId="Heading5Char">
    <w:name w:val="Heading 5 Char"/>
    <w:basedOn w:val="DefaultParagraphFont"/>
    <w:link w:val="Heading5"/>
    <w:rsid w:val="00F04F12"/>
    <w:rPr>
      <w:rFonts w:ascii="Arial" w:hAnsi="Arial"/>
      <w:b/>
      <w:bCs/>
      <w:sz w:val="24"/>
      <w:szCs w:val="24"/>
    </w:rPr>
  </w:style>
  <w:style w:type="character" w:styleId="FootnoteReference">
    <w:name w:val="footnote reference"/>
    <w:basedOn w:val="DefaultParagraphFont"/>
    <w:semiHidden/>
    <w:unhideWhenUsed/>
    <w:rsid w:val="000B675E"/>
    <w:rPr>
      <w:vertAlign w:val="superscript"/>
    </w:rPr>
  </w:style>
  <w:style w:type="character" w:styleId="UnresolvedMention">
    <w:name w:val="Unresolved Mention"/>
    <w:basedOn w:val="DefaultParagraphFont"/>
    <w:uiPriority w:val="99"/>
    <w:semiHidden/>
    <w:unhideWhenUsed/>
    <w:rsid w:val="002534D1"/>
    <w:rPr>
      <w:color w:val="605E5C"/>
      <w:shd w:val="clear" w:color="auto" w:fill="E1DFDD"/>
    </w:rPr>
  </w:style>
  <w:style w:type="table" w:styleId="TableGrid">
    <w:name w:val="Table Grid"/>
    <w:basedOn w:val="TableNormal"/>
    <w:uiPriority w:val="59"/>
    <w:rsid w:val="005E2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5194">
      <w:bodyDiv w:val="1"/>
      <w:marLeft w:val="0"/>
      <w:marRight w:val="0"/>
      <w:marTop w:val="0"/>
      <w:marBottom w:val="0"/>
      <w:divBdr>
        <w:top w:val="none" w:sz="0" w:space="0" w:color="auto"/>
        <w:left w:val="none" w:sz="0" w:space="0" w:color="auto"/>
        <w:bottom w:val="none" w:sz="0" w:space="0" w:color="auto"/>
        <w:right w:val="none" w:sz="0" w:space="0" w:color="auto"/>
      </w:divBdr>
    </w:div>
    <w:div w:id="968821506">
      <w:bodyDiv w:val="1"/>
      <w:marLeft w:val="0"/>
      <w:marRight w:val="0"/>
      <w:marTop w:val="0"/>
      <w:marBottom w:val="0"/>
      <w:divBdr>
        <w:top w:val="none" w:sz="0" w:space="0" w:color="auto"/>
        <w:left w:val="none" w:sz="0" w:space="0" w:color="auto"/>
        <w:bottom w:val="none" w:sz="0" w:space="0" w:color="auto"/>
        <w:right w:val="none" w:sz="0" w:space="0" w:color="auto"/>
      </w:divBdr>
    </w:div>
    <w:div w:id="1279794426">
      <w:bodyDiv w:val="1"/>
      <w:marLeft w:val="0"/>
      <w:marRight w:val="0"/>
      <w:marTop w:val="0"/>
      <w:marBottom w:val="0"/>
      <w:divBdr>
        <w:top w:val="none" w:sz="0" w:space="0" w:color="auto"/>
        <w:left w:val="none" w:sz="0" w:space="0" w:color="auto"/>
        <w:bottom w:val="none" w:sz="0" w:space="0" w:color="auto"/>
        <w:right w:val="none" w:sz="0" w:space="0" w:color="auto"/>
      </w:divBdr>
    </w:div>
    <w:div w:id="1524124715">
      <w:bodyDiv w:val="1"/>
      <w:marLeft w:val="0"/>
      <w:marRight w:val="0"/>
      <w:marTop w:val="0"/>
      <w:marBottom w:val="0"/>
      <w:divBdr>
        <w:top w:val="none" w:sz="0" w:space="0" w:color="auto"/>
        <w:left w:val="none" w:sz="0" w:space="0" w:color="auto"/>
        <w:bottom w:val="none" w:sz="0" w:space="0" w:color="auto"/>
        <w:right w:val="none" w:sz="0" w:space="0" w:color="auto"/>
      </w:divBdr>
    </w:div>
    <w:div w:id="1956330637">
      <w:bodyDiv w:val="1"/>
      <w:marLeft w:val="0"/>
      <w:marRight w:val="0"/>
      <w:marTop w:val="0"/>
      <w:marBottom w:val="0"/>
      <w:divBdr>
        <w:top w:val="none" w:sz="0" w:space="0" w:color="auto"/>
        <w:left w:val="none" w:sz="0" w:space="0" w:color="auto"/>
        <w:bottom w:val="none" w:sz="0" w:space="0" w:color="auto"/>
        <w:right w:val="none" w:sz="0" w:space="0" w:color="auto"/>
      </w:divBdr>
    </w:div>
    <w:div w:id="197525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treasurer.ca.gov"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lhr.ca.gov/employees/Pages/travel-reimbursements.aspx"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almertree@treasurer.ca.gov" TargetMode="External"/><Relationship Id="rId14" Type="http://schemas.openxmlformats.org/officeDocument/2006/relationships/hyperlink" Target="http://www.fppc.ca.gov/Form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E93F1-6702-4CC0-8A12-4387DA0F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5131</Words>
  <Characters>29366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January 22, 2002</vt:lpstr>
    </vt:vector>
  </TitlesOfParts>
  <Company>Calif. State Treasurer</Company>
  <LinksUpToDate>false</LinksUpToDate>
  <CharactersWithSpaces>34429</CharactersWithSpaces>
  <SharedDoc>false</SharedDoc>
  <HLinks>
    <vt:vector size="12" baseType="variant">
      <vt:variant>
        <vt:i4>2883657</vt:i4>
      </vt:variant>
      <vt:variant>
        <vt:i4>6</vt:i4>
      </vt:variant>
      <vt:variant>
        <vt:i4>0</vt:i4>
      </vt:variant>
      <vt:variant>
        <vt:i4>5</vt:i4>
      </vt:variant>
      <vt:variant>
        <vt:lpwstr>mailto:gpalmertree@treasurer.ca.gov</vt:lpwstr>
      </vt:variant>
      <vt:variant>
        <vt:lpwstr/>
      </vt:variant>
      <vt:variant>
        <vt:i4>4063317</vt:i4>
      </vt:variant>
      <vt:variant>
        <vt:i4>3</vt:i4>
      </vt:variant>
      <vt:variant>
        <vt:i4>0</vt:i4>
      </vt:variant>
      <vt:variant>
        <vt:i4>5</vt:i4>
      </vt:variant>
      <vt:variant>
        <vt:lpwstr>mailto:STO@treasurer.ca.gov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22, 2002</dc:title>
  <dc:creator>State of California</dc:creator>
  <cp:lastModifiedBy>Smith, Kassandra</cp:lastModifiedBy>
  <cp:revision>2</cp:revision>
  <cp:lastPrinted>2019-05-13T16:46:00Z</cp:lastPrinted>
  <dcterms:created xsi:type="dcterms:W3CDTF">2023-05-26T21:16:00Z</dcterms:created>
  <dcterms:modified xsi:type="dcterms:W3CDTF">2023-05-26T21:16:00Z</dcterms:modified>
</cp:coreProperties>
</file>